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386C" w14:textId="77777777" w:rsidR="005515EB" w:rsidRDefault="005515EB" w:rsidP="00D7256E">
      <w:pPr>
        <w:pStyle w:val="berschrift1"/>
        <w:shd w:val="clear" w:color="auto" w:fill="FFFFFF"/>
        <w:spacing w:after="120"/>
        <w:rPr>
          <w:rFonts w:ascii="Open Sans" w:hAnsi="Open Sans" w:cs="Open Sans"/>
          <w:color w:val="333536"/>
          <w:sz w:val="40"/>
          <w:szCs w:val="40"/>
        </w:rPr>
      </w:pPr>
    </w:p>
    <w:p w14:paraId="07E19241" w14:textId="77777777" w:rsidR="005515EB" w:rsidRPr="005515EB" w:rsidRDefault="00D7256E" w:rsidP="005515EB">
      <w:pPr>
        <w:pStyle w:val="berschrift1"/>
        <w:shd w:val="clear" w:color="auto" w:fill="FFFFFF"/>
        <w:spacing w:after="120" w:line="276" w:lineRule="auto"/>
        <w:rPr>
          <w:rFonts w:ascii="Open Sans" w:hAnsi="Open Sans" w:cs="Open Sans"/>
          <w:sz w:val="40"/>
          <w:szCs w:val="40"/>
        </w:rPr>
      </w:pPr>
      <w:proofErr w:type="spellStart"/>
      <w:r w:rsidRPr="005515EB">
        <w:rPr>
          <w:rFonts w:ascii="Open Sans" w:hAnsi="Open Sans" w:cs="Open Sans"/>
          <w:sz w:val="40"/>
          <w:szCs w:val="40"/>
        </w:rPr>
        <w:t>Jedox</w:t>
      </w:r>
      <w:proofErr w:type="spellEnd"/>
      <w:r w:rsidRPr="005515EB">
        <w:rPr>
          <w:rFonts w:ascii="Open Sans" w:hAnsi="Open Sans" w:cs="Open Sans"/>
          <w:sz w:val="40"/>
          <w:szCs w:val="40"/>
        </w:rPr>
        <w:t xml:space="preserve"> im Planning Survey 20: </w:t>
      </w:r>
    </w:p>
    <w:p w14:paraId="7475BA49" w14:textId="73B48CEB" w:rsidR="00D7256E" w:rsidRPr="005515EB" w:rsidRDefault="00D7256E" w:rsidP="005515EB">
      <w:pPr>
        <w:pStyle w:val="berschrift1"/>
        <w:shd w:val="clear" w:color="auto" w:fill="FFFFFF"/>
        <w:spacing w:after="120" w:line="276" w:lineRule="auto"/>
        <w:rPr>
          <w:rFonts w:ascii="Open Sans" w:hAnsi="Open Sans" w:cs="Open Sans"/>
          <w:sz w:val="32"/>
          <w:szCs w:val="32"/>
        </w:rPr>
      </w:pPr>
      <w:r w:rsidRPr="005515EB">
        <w:rPr>
          <w:rFonts w:ascii="Open Sans" w:hAnsi="Open Sans" w:cs="Open Sans"/>
          <w:sz w:val="32"/>
          <w:szCs w:val="32"/>
        </w:rPr>
        <w:t>Kundenstimmen bestätigen rasche Implementierung und umfassende Flexibilität</w:t>
      </w:r>
    </w:p>
    <w:p w14:paraId="63787B4D" w14:textId="64111CB8" w:rsidR="00D7256E" w:rsidRPr="005515EB" w:rsidRDefault="005515EB" w:rsidP="005515EB">
      <w:pPr>
        <w:pStyle w:val="StandardWeb"/>
        <w:shd w:val="clear" w:color="auto" w:fill="FFFFFF"/>
        <w:spacing w:before="0" w:beforeAutospacing="0" w:after="300" w:afterAutospacing="0" w:line="276" w:lineRule="auto"/>
        <w:jc w:val="both"/>
        <w:rPr>
          <w:rFonts w:asciiTheme="majorHAnsi" w:hAnsiTheme="majorHAnsi" w:cstheme="majorHAnsi"/>
        </w:rPr>
      </w:pPr>
      <w:r>
        <w:rPr>
          <w:rStyle w:val="Fett"/>
          <w:rFonts w:asciiTheme="majorHAnsi" w:hAnsiTheme="majorHAnsi" w:cstheme="majorHAnsi"/>
        </w:rPr>
        <w:t>Boston/Freiburg, 30</w:t>
      </w:r>
      <w:r w:rsidR="00D7256E" w:rsidRPr="005515EB">
        <w:rPr>
          <w:rStyle w:val="Fett"/>
          <w:rFonts w:asciiTheme="majorHAnsi" w:hAnsiTheme="majorHAnsi" w:cstheme="majorHAnsi"/>
        </w:rPr>
        <w:t xml:space="preserve">. Juni 2020: </w:t>
      </w:r>
      <w:proofErr w:type="spellStart"/>
      <w:r w:rsidR="00D7256E" w:rsidRPr="005515EB">
        <w:rPr>
          <w:rStyle w:val="Fett"/>
          <w:rFonts w:asciiTheme="majorHAnsi" w:hAnsiTheme="majorHAnsi" w:cstheme="majorHAnsi"/>
        </w:rPr>
        <w:t>Jedox</w:t>
      </w:r>
      <w:proofErr w:type="spellEnd"/>
      <w:r w:rsidR="00D7256E" w:rsidRPr="005515EB">
        <w:rPr>
          <w:rStyle w:val="Fett"/>
          <w:rFonts w:asciiTheme="majorHAnsi" w:hAnsiTheme="majorHAnsi" w:cstheme="majorHAnsi"/>
        </w:rPr>
        <w:t xml:space="preserve"> hat im diesjährigen „The Planning Survey 20“ des Analystenhauses BARC erneut hervorragende Ergebnisse in seinen Vergleichsgruppen erzielt. In der weltweit größten Anwenderbefragung für Planungssoftware wurde die Position als ein marktführender Planungs- und Analytics-Anbieter bestätigt.</w:t>
      </w:r>
    </w:p>
    <w:p w14:paraId="201F31AF" w14:textId="77777777" w:rsidR="00D7256E" w:rsidRPr="005515EB" w:rsidRDefault="00D7256E" w:rsidP="005515EB">
      <w:pPr>
        <w:pStyle w:val="StandardWeb"/>
        <w:shd w:val="clear" w:color="auto" w:fill="FFFFFF"/>
        <w:spacing w:before="0" w:beforeAutospacing="0" w:after="300" w:afterAutospacing="0" w:line="276" w:lineRule="auto"/>
        <w:jc w:val="both"/>
        <w:rPr>
          <w:rFonts w:asciiTheme="majorHAnsi" w:hAnsiTheme="majorHAnsi" w:cstheme="majorHAnsi"/>
        </w:rPr>
      </w:pPr>
      <w:r w:rsidRPr="005515EB">
        <w:rPr>
          <w:rFonts w:asciiTheme="majorHAnsi" w:hAnsiTheme="majorHAnsi" w:cstheme="majorHAnsi"/>
        </w:rPr>
        <w:t xml:space="preserve">In der Umfrage zur Nutzung von Planungs-, Budgetierungs- und </w:t>
      </w:r>
      <w:proofErr w:type="spellStart"/>
      <w:r w:rsidRPr="005515EB">
        <w:rPr>
          <w:rFonts w:asciiTheme="majorHAnsi" w:hAnsiTheme="majorHAnsi" w:cstheme="majorHAnsi"/>
        </w:rPr>
        <w:t>Forecasting</w:t>
      </w:r>
      <w:proofErr w:type="spellEnd"/>
      <w:r w:rsidRPr="005515EB">
        <w:rPr>
          <w:rFonts w:asciiTheme="majorHAnsi" w:hAnsiTheme="majorHAnsi" w:cstheme="majorHAnsi"/>
        </w:rPr>
        <w:t xml:space="preserve">-Software wurde die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AG in seinen vier Vergleichsgruppen insgesamt 36-mal auf führende Ränge gewählt, darunter 6 Spitzenpositionen in Kategorien wie „Business </w:t>
      </w:r>
      <w:proofErr w:type="spellStart"/>
      <w:r w:rsidRPr="005515EB">
        <w:rPr>
          <w:rFonts w:asciiTheme="majorHAnsi" w:hAnsiTheme="majorHAnsi" w:cstheme="majorHAnsi"/>
        </w:rPr>
        <w:t>value</w:t>
      </w:r>
      <w:proofErr w:type="spellEnd"/>
      <w:r w:rsidRPr="005515EB">
        <w:rPr>
          <w:rFonts w:asciiTheme="majorHAnsi" w:hAnsiTheme="majorHAnsi" w:cstheme="majorHAnsi"/>
        </w:rPr>
        <w:t xml:space="preserve">“, „Project </w:t>
      </w:r>
      <w:proofErr w:type="spellStart"/>
      <w:r w:rsidRPr="005515EB">
        <w:rPr>
          <w:rFonts w:asciiTheme="majorHAnsi" w:hAnsiTheme="majorHAnsi" w:cstheme="majorHAnsi"/>
        </w:rPr>
        <w:t>length</w:t>
      </w:r>
      <w:proofErr w:type="spellEnd"/>
      <w:r w:rsidRPr="005515EB">
        <w:rPr>
          <w:rFonts w:asciiTheme="majorHAnsi" w:hAnsiTheme="majorHAnsi" w:cstheme="majorHAnsi"/>
        </w:rPr>
        <w:t xml:space="preserve">“, „Data </w:t>
      </w:r>
      <w:proofErr w:type="spellStart"/>
      <w:r w:rsidRPr="005515EB">
        <w:rPr>
          <w:rFonts w:asciiTheme="majorHAnsi" w:hAnsiTheme="majorHAnsi" w:cstheme="majorHAnsi"/>
        </w:rPr>
        <w:t>integration</w:t>
      </w:r>
      <w:proofErr w:type="spellEnd"/>
      <w:r w:rsidRPr="005515EB">
        <w:rPr>
          <w:rFonts w:asciiTheme="majorHAnsi" w:hAnsiTheme="majorHAnsi" w:cstheme="majorHAnsi"/>
        </w:rPr>
        <w:t xml:space="preserve">“ und „Self-service“. Diese Platzierungen bestätigen, dass besonders in der jetzigen Zeit, in der es auf eine schnelle Implementierung von EPM-Lösungen mit hohem Geschäftsnutzen ankommt,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seinen Kunden einen klaren Mehrwert bieten kann. Dank der globalen Präsenz und weltweiten Kundenbasis erzielte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auch insgesamt vier Top-Platzierungen und acht führende Positionen in der Vergleichsgruppe „Global </w:t>
      </w:r>
      <w:proofErr w:type="spellStart"/>
      <w:r w:rsidRPr="005515EB">
        <w:rPr>
          <w:rFonts w:asciiTheme="majorHAnsi" w:hAnsiTheme="majorHAnsi" w:cstheme="majorHAnsi"/>
        </w:rPr>
        <w:t>Vendors</w:t>
      </w:r>
      <w:proofErr w:type="spellEnd"/>
      <w:r w:rsidRPr="005515EB">
        <w:rPr>
          <w:rFonts w:asciiTheme="majorHAnsi" w:hAnsiTheme="majorHAnsi" w:cstheme="majorHAnsi"/>
        </w:rPr>
        <w:t>“.</w:t>
      </w:r>
    </w:p>
    <w:p w14:paraId="67C1D1F3" w14:textId="77777777" w:rsidR="00D7256E" w:rsidRPr="005515EB" w:rsidRDefault="00D7256E" w:rsidP="005515EB">
      <w:pPr>
        <w:pStyle w:val="StandardWeb"/>
        <w:shd w:val="clear" w:color="auto" w:fill="FFFFFF"/>
        <w:spacing w:before="0" w:beforeAutospacing="0" w:after="300" w:afterAutospacing="0" w:line="276" w:lineRule="auto"/>
        <w:jc w:val="both"/>
        <w:rPr>
          <w:rFonts w:asciiTheme="majorHAnsi" w:hAnsiTheme="majorHAnsi" w:cstheme="majorHAnsi"/>
        </w:rPr>
      </w:pPr>
      <w:r w:rsidRPr="005515EB">
        <w:rPr>
          <w:rFonts w:asciiTheme="majorHAnsi" w:hAnsiTheme="majorHAnsi" w:cstheme="majorHAnsi"/>
        </w:rPr>
        <w:t>Dr. Christian Fuchs, Senior Analyst Data &amp; Analytics bei BARC, fasst die Ergebnisse wie folgt zusammen: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hat im diesjährigen Planning Survey wieder hervorragende Ergebnisse erzielt. Die überzeugenden Resultate für eine Vielzahl von KPIs bestätigen die Position des Unternehmens als führender Anbieter von Planungs- und Analysesoftware.“</w:t>
      </w:r>
    </w:p>
    <w:p w14:paraId="11A04D25" w14:textId="77777777" w:rsidR="00D7256E" w:rsidRPr="005515EB" w:rsidRDefault="00D7256E" w:rsidP="005515EB">
      <w:pPr>
        <w:pStyle w:val="berschrift2"/>
        <w:shd w:val="clear" w:color="auto" w:fill="FFFFFF"/>
        <w:spacing w:after="120" w:line="276" w:lineRule="auto"/>
        <w:jc w:val="both"/>
        <w:rPr>
          <w:rFonts w:asciiTheme="majorHAnsi" w:hAnsiTheme="majorHAnsi" w:cstheme="majorHAnsi"/>
          <w:b/>
          <w:bCs/>
          <w:i w:val="0"/>
          <w:sz w:val="24"/>
        </w:rPr>
      </w:pPr>
      <w:proofErr w:type="spellStart"/>
      <w:r w:rsidRPr="005515EB">
        <w:rPr>
          <w:rFonts w:asciiTheme="majorHAnsi" w:hAnsiTheme="majorHAnsi" w:cstheme="majorHAnsi"/>
          <w:b/>
          <w:i w:val="0"/>
          <w:sz w:val="24"/>
        </w:rPr>
        <w:t>Jedox</w:t>
      </w:r>
      <w:proofErr w:type="spellEnd"/>
      <w:r w:rsidRPr="005515EB">
        <w:rPr>
          <w:rFonts w:asciiTheme="majorHAnsi" w:hAnsiTheme="majorHAnsi" w:cstheme="majorHAnsi"/>
          <w:b/>
          <w:i w:val="0"/>
          <w:sz w:val="24"/>
        </w:rPr>
        <w:t xml:space="preserve"> erzielt vier Spitzenpositionen in der Vergleichsgruppe „Global </w:t>
      </w:r>
      <w:proofErr w:type="spellStart"/>
      <w:r w:rsidRPr="005515EB">
        <w:rPr>
          <w:rFonts w:asciiTheme="majorHAnsi" w:hAnsiTheme="majorHAnsi" w:cstheme="majorHAnsi"/>
          <w:b/>
          <w:i w:val="0"/>
          <w:sz w:val="24"/>
        </w:rPr>
        <w:t>Vendors</w:t>
      </w:r>
      <w:proofErr w:type="spellEnd"/>
      <w:r w:rsidRPr="005515EB">
        <w:rPr>
          <w:rFonts w:asciiTheme="majorHAnsi" w:hAnsiTheme="majorHAnsi" w:cstheme="majorHAnsi"/>
          <w:b/>
          <w:i w:val="0"/>
          <w:sz w:val="24"/>
        </w:rPr>
        <w:t>“</w:t>
      </w:r>
    </w:p>
    <w:p w14:paraId="4DBC2D34" w14:textId="77777777" w:rsidR="00D7256E" w:rsidRDefault="00D7256E" w:rsidP="005515EB">
      <w:pPr>
        <w:pStyle w:val="StandardWeb"/>
        <w:shd w:val="clear" w:color="auto" w:fill="FFFFFF"/>
        <w:spacing w:before="0" w:beforeAutospacing="0" w:after="300" w:afterAutospacing="0" w:line="276" w:lineRule="auto"/>
        <w:jc w:val="both"/>
        <w:rPr>
          <w:rFonts w:asciiTheme="majorHAnsi" w:hAnsiTheme="majorHAnsi" w:cstheme="majorHAnsi"/>
        </w:rPr>
      </w:pPr>
      <w:r w:rsidRPr="005515EB">
        <w:rPr>
          <w:rFonts w:asciiTheme="majorHAnsi" w:hAnsiTheme="majorHAnsi" w:cstheme="majorHAnsi"/>
        </w:rPr>
        <w:t xml:space="preserve">Das Business Application Research Center, kurz BARC, unterteilt die verschiedenen Produkte der 23 Anbieter in acht Vergleichsgruppen.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erzielte im aktuellen Planning Survey in der Vergleichsgruppe „Global </w:t>
      </w:r>
      <w:proofErr w:type="spellStart"/>
      <w:r w:rsidRPr="005515EB">
        <w:rPr>
          <w:rFonts w:asciiTheme="majorHAnsi" w:hAnsiTheme="majorHAnsi" w:cstheme="majorHAnsi"/>
        </w:rPr>
        <w:t>Vendors</w:t>
      </w:r>
      <w:proofErr w:type="spellEnd"/>
      <w:r w:rsidRPr="005515EB">
        <w:rPr>
          <w:rFonts w:asciiTheme="majorHAnsi" w:hAnsiTheme="majorHAnsi" w:cstheme="majorHAnsi"/>
        </w:rPr>
        <w:t xml:space="preserve">“ mit „Project </w:t>
      </w:r>
      <w:proofErr w:type="spellStart"/>
      <w:r w:rsidRPr="005515EB">
        <w:rPr>
          <w:rFonts w:asciiTheme="majorHAnsi" w:hAnsiTheme="majorHAnsi" w:cstheme="majorHAnsi"/>
        </w:rPr>
        <w:t>length</w:t>
      </w:r>
      <w:proofErr w:type="spellEnd"/>
      <w:r w:rsidRPr="005515EB">
        <w:rPr>
          <w:rFonts w:asciiTheme="majorHAnsi" w:hAnsiTheme="majorHAnsi" w:cstheme="majorHAnsi"/>
        </w:rPr>
        <w:t xml:space="preserve">“, „Business </w:t>
      </w:r>
      <w:proofErr w:type="spellStart"/>
      <w:r w:rsidRPr="005515EB">
        <w:rPr>
          <w:rFonts w:asciiTheme="majorHAnsi" w:hAnsiTheme="majorHAnsi" w:cstheme="majorHAnsi"/>
        </w:rPr>
        <w:t>value</w:t>
      </w:r>
      <w:proofErr w:type="spellEnd"/>
      <w:r w:rsidRPr="005515EB">
        <w:rPr>
          <w:rFonts w:asciiTheme="majorHAnsi" w:hAnsiTheme="majorHAnsi" w:cstheme="majorHAnsi"/>
        </w:rPr>
        <w:t xml:space="preserve">“, „Data </w:t>
      </w:r>
      <w:proofErr w:type="spellStart"/>
      <w:r w:rsidRPr="005515EB">
        <w:rPr>
          <w:rFonts w:asciiTheme="majorHAnsi" w:hAnsiTheme="majorHAnsi" w:cstheme="majorHAnsi"/>
        </w:rPr>
        <w:t>integration</w:t>
      </w:r>
      <w:proofErr w:type="spellEnd"/>
      <w:r w:rsidRPr="005515EB">
        <w:rPr>
          <w:rFonts w:asciiTheme="majorHAnsi" w:hAnsiTheme="majorHAnsi" w:cstheme="majorHAnsi"/>
        </w:rPr>
        <w:t xml:space="preserve">“ und „Self-service“ gleich vier Spitzenplätze sowie weitere hervorragende Ergebnisse, u. a. in den Kategorien „Business </w:t>
      </w:r>
      <w:proofErr w:type="spellStart"/>
      <w:r w:rsidRPr="005515EB">
        <w:rPr>
          <w:rFonts w:asciiTheme="majorHAnsi" w:hAnsiTheme="majorHAnsi" w:cstheme="majorHAnsi"/>
        </w:rPr>
        <w:t>benefits</w:t>
      </w:r>
      <w:proofErr w:type="spellEnd"/>
      <w:r w:rsidRPr="005515EB">
        <w:rPr>
          <w:rFonts w:asciiTheme="majorHAnsi" w:hAnsiTheme="majorHAnsi" w:cstheme="majorHAnsi"/>
        </w:rPr>
        <w:t xml:space="preserve">“, „Project </w:t>
      </w:r>
      <w:proofErr w:type="spellStart"/>
      <w:r w:rsidRPr="005515EB">
        <w:rPr>
          <w:rFonts w:asciiTheme="majorHAnsi" w:hAnsiTheme="majorHAnsi" w:cstheme="majorHAnsi"/>
        </w:rPr>
        <w:t>success</w:t>
      </w:r>
      <w:proofErr w:type="spellEnd"/>
      <w:r w:rsidRPr="005515EB">
        <w:rPr>
          <w:rFonts w:asciiTheme="majorHAnsi" w:hAnsiTheme="majorHAnsi" w:cstheme="majorHAnsi"/>
        </w:rPr>
        <w:t>“, „</w:t>
      </w:r>
      <w:proofErr w:type="spellStart"/>
      <w:r w:rsidRPr="005515EB">
        <w:rPr>
          <w:rFonts w:asciiTheme="majorHAnsi" w:hAnsiTheme="majorHAnsi" w:cstheme="majorHAnsi"/>
        </w:rPr>
        <w:t>Recommendation</w:t>
      </w:r>
      <w:proofErr w:type="spellEnd"/>
      <w:r w:rsidRPr="005515EB">
        <w:rPr>
          <w:rFonts w:asciiTheme="majorHAnsi" w:hAnsiTheme="majorHAnsi" w:cstheme="majorHAnsi"/>
        </w:rPr>
        <w:t>“, „</w:t>
      </w:r>
      <w:proofErr w:type="spellStart"/>
      <w:r w:rsidRPr="005515EB">
        <w:rPr>
          <w:rFonts w:asciiTheme="majorHAnsi" w:hAnsiTheme="majorHAnsi" w:cstheme="majorHAnsi"/>
        </w:rPr>
        <w:t>Flexibility</w:t>
      </w:r>
      <w:proofErr w:type="spellEnd"/>
      <w:r w:rsidRPr="005515EB">
        <w:rPr>
          <w:rFonts w:asciiTheme="majorHAnsi" w:hAnsiTheme="majorHAnsi" w:cstheme="majorHAnsi"/>
        </w:rPr>
        <w:t xml:space="preserve">“ und „Customer </w:t>
      </w:r>
      <w:proofErr w:type="spellStart"/>
      <w:r w:rsidRPr="005515EB">
        <w:rPr>
          <w:rFonts w:asciiTheme="majorHAnsi" w:hAnsiTheme="majorHAnsi" w:cstheme="majorHAnsi"/>
        </w:rPr>
        <w:t>experience</w:t>
      </w:r>
      <w:proofErr w:type="spellEnd"/>
      <w:r w:rsidRPr="005515EB">
        <w:rPr>
          <w:rFonts w:asciiTheme="majorHAnsi" w:hAnsiTheme="majorHAnsi" w:cstheme="majorHAnsi"/>
        </w:rPr>
        <w:t xml:space="preserve">“. Damit setzt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seine bisherige Serie an ausgezeichneten Platzierungen im Planning Survey auch in der globalen Vergleichsgruppe fort, in der unter anderem SAP, IBM und Oracle vertreten sind.</w:t>
      </w:r>
    </w:p>
    <w:p w14:paraId="7F87B3F4" w14:textId="77777777" w:rsidR="005515EB" w:rsidRDefault="005515EB" w:rsidP="005515EB">
      <w:pPr>
        <w:pStyle w:val="StandardWeb"/>
        <w:shd w:val="clear" w:color="auto" w:fill="FFFFFF"/>
        <w:spacing w:before="0" w:beforeAutospacing="0" w:after="300" w:afterAutospacing="0" w:line="276" w:lineRule="auto"/>
        <w:jc w:val="both"/>
        <w:rPr>
          <w:rFonts w:asciiTheme="majorHAnsi" w:hAnsiTheme="majorHAnsi" w:cstheme="majorHAnsi"/>
        </w:rPr>
      </w:pPr>
    </w:p>
    <w:p w14:paraId="140F942D" w14:textId="77777777" w:rsidR="005515EB" w:rsidRPr="005515EB" w:rsidRDefault="005515EB" w:rsidP="005515EB">
      <w:pPr>
        <w:pStyle w:val="StandardWeb"/>
        <w:shd w:val="clear" w:color="auto" w:fill="FFFFFF"/>
        <w:spacing w:before="0" w:beforeAutospacing="0" w:after="300" w:afterAutospacing="0" w:line="276" w:lineRule="auto"/>
        <w:jc w:val="both"/>
        <w:rPr>
          <w:rFonts w:asciiTheme="majorHAnsi" w:hAnsiTheme="majorHAnsi" w:cstheme="majorHAnsi"/>
        </w:rPr>
      </w:pPr>
    </w:p>
    <w:p w14:paraId="471EF689" w14:textId="77777777" w:rsidR="00D7256E" w:rsidRPr="005515EB" w:rsidRDefault="00D7256E" w:rsidP="005515EB">
      <w:pPr>
        <w:pStyle w:val="berschrift2"/>
        <w:shd w:val="clear" w:color="auto" w:fill="FFFFFF"/>
        <w:spacing w:after="120" w:line="276" w:lineRule="auto"/>
        <w:jc w:val="both"/>
        <w:rPr>
          <w:rFonts w:asciiTheme="majorHAnsi" w:hAnsiTheme="majorHAnsi" w:cstheme="majorHAnsi"/>
          <w:b/>
          <w:bCs/>
          <w:i w:val="0"/>
          <w:sz w:val="24"/>
        </w:rPr>
      </w:pPr>
      <w:r w:rsidRPr="005515EB">
        <w:rPr>
          <w:rFonts w:asciiTheme="majorHAnsi" w:hAnsiTheme="majorHAnsi" w:cstheme="majorHAnsi"/>
          <w:b/>
          <w:i w:val="0"/>
          <w:sz w:val="24"/>
        </w:rPr>
        <w:lastRenderedPageBreak/>
        <w:t>Schnelle Implementierung, leistungsfähige Datenintegration, umfassende Flexibilität und exzellente Self-Service-Eigenschaften</w:t>
      </w:r>
    </w:p>
    <w:p w14:paraId="09E4CD06" w14:textId="77777777" w:rsidR="00D7256E" w:rsidRPr="005515EB" w:rsidRDefault="00D7256E" w:rsidP="005515EB">
      <w:pPr>
        <w:numPr>
          <w:ilvl w:val="0"/>
          <w:numId w:val="36"/>
        </w:numPr>
        <w:shd w:val="clear" w:color="auto" w:fill="FFFFFF"/>
        <w:spacing w:before="100" w:beforeAutospacing="1" w:after="100" w:afterAutospacing="1" w:line="276" w:lineRule="auto"/>
        <w:jc w:val="both"/>
        <w:rPr>
          <w:rFonts w:asciiTheme="majorHAnsi" w:hAnsiTheme="majorHAnsi" w:cstheme="majorHAnsi"/>
        </w:rPr>
      </w:pPr>
      <w:r w:rsidRPr="005515EB">
        <w:rPr>
          <w:rFonts w:asciiTheme="majorHAnsi" w:hAnsiTheme="majorHAnsi" w:cstheme="majorHAnsi"/>
        </w:rPr>
        <w:t xml:space="preserve">In der Kategorie „Project </w:t>
      </w:r>
      <w:proofErr w:type="spellStart"/>
      <w:r w:rsidRPr="005515EB">
        <w:rPr>
          <w:rFonts w:asciiTheme="majorHAnsi" w:hAnsiTheme="majorHAnsi" w:cstheme="majorHAnsi"/>
        </w:rPr>
        <w:t>length</w:t>
      </w:r>
      <w:proofErr w:type="spellEnd"/>
      <w:r w:rsidRPr="005515EB">
        <w:rPr>
          <w:rFonts w:asciiTheme="majorHAnsi" w:hAnsiTheme="majorHAnsi" w:cstheme="majorHAnsi"/>
        </w:rPr>
        <w:t xml:space="preserve">“ erzielt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sowohl in der Vergleichsgruppe „Global </w:t>
      </w:r>
      <w:proofErr w:type="spellStart"/>
      <w:r w:rsidRPr="005515EB">
        <w:rPr>
          <w:rFonts w:asciiTheme="majorHAnsi" w:hAnsiTheme="majorHAnsi" w:cstheme="majorHAnsi"/>
        </w:rPr>
        <w:t>Vendors</w:t>
      </w:r>
      <w:proofErr w:type="spellEnd"/>
      <w:r w:rsidRPr="005515EB">
        <w:rPr>
          <w:rFonts w:asciiTheme="majorHAnsi" w:hAnsiTheme="majorHAnsi" w:cstheme="majorHAnsi"/>
        </w:rPr>
        <w:t>“ als auch in der Gruppe „BI-</w:t>
      </w:r>
      <w:proofErr w:type="spellStart"/>
      <w:r w:rsidRPr="005515EB">
        <w:rPr>
          <w:rFonts w:asciiTheme="majorHAnsi" w:hAnsiTheme="majorHAnsi" w:cstheme="majorHAnsi"/>
        </w:rPr>
        <w:t>focused</w:t>
      </w:r>
      <w:proofErr w:type="spellEnd"/>
      <w:r w:rsidRPr="005515EB">
        <w:rPr>
          <w:rFonts w:asciiTheme="majorHAnsi" w:hAnsiTheme="majorHAnsi" w:cstheme="majorHAnsi"/>
        </w:rPr>
        <w:t xml:space="preserve"> Products“ den ersten Platz. Damit bestätigen die zufriedenen Kunden eine schnelle Implementierungszeit ihrer </w:t>
      </w:r>
      <w:proofErr w:type="spellStart"/>
      <w:r w:rsidRPr="005515EB">
        <w:rPr>
          <w:rFonts w:asciiTheme="majorHAnsi" w:hAnsiTheme="majorHAnsi" w:cstheme="majorHAnsi"/>
        </w:rPr>
        <w:t>Jedox</w:t>
      </w:r>
      <w:proofErr w:type="spellEnd"/>
      <w:r w:rsidRPr="005515EB">
        <w:rPr>
          <w:rFonts w:asciiTheme="majorHAnsi" w:hAnsiTheme="majorHAnsi" w:cstheme="majorHAnsi"/>
        </w:rPr>
        <w:t>-Projekte. Die schnelle Inbetriebnahme und die rasche Umsetzung einer professionellen, integrierten Planung können gerade in Krisenzeiten ein entscheidender Faktor sein.</w:t>
      </w:r>
    </w:p>
    <w:p w14:paraId="299A1E32" w14:textId="77777777" w:rsidR="00D7256E" w:rsidRPr="005515EB" w:rsidRDefault="00D7256E" w:rsidP="005515EB">
      <w:pPr>
        <w:numPr>
          <w:ilvl w:val="0"/>
          <w:numId w:val="36"/>
        </w:numPr>
        <w:shd w:val="clear" w:color="auto" w:fill="FFFFFF"/>
        <w:spacing w:before="100" w:beforeAutospacing="1" w:after="100" w:afterAutospacing="1" w:line="276" w:lineRule="auto"/>
        <w:jc w:val="both"/>
        <w:rPr>
          <w:rFonts w:asciiTheme="majorHAnsi" w:hAnsiTheme="majorHAnsi" w:cstheme="majorHAnsi"/>
        </w:rPr>
      </w:pPr>
      <w:r w:rsidRPr="005515EB">
        <w:rPr>
          <w:rFonts w:asciiTheme="majorHAnsi" w:hAnsiTheme="majorHAnsi" w:cstheme="majorHAnsi"/>
        </w:rPr>
        <w:t xml:space="preserve">In der Kategorie „Data </w:t>
      </w:r>
      <w:proofErr w:type="spellStart"/>
      <w:r w:rsidRPr="005515EB">
        <w:rPr>
          <w:rFonts w:asciiTheme="majorHAnsi" w:hAnsiTheme="majorHAnsi" w:cstheme="majorHAnsi"/>
        </w:rPr>
        <w:t>integration</w:t>
      </w:r>
      <w:proofErr w:type="spellEnd"/>
      <w:r w:rsidRPr="005515EB">
        <w:rPr>
          <w:rFonts w:asciiTheme="majorHAnsi" w:hAnsiTheme="majorHAnsi" w:cstheme="majorHAnsi"/>
        </w:rPr>
        <w:t xml:space="preserve">“ belegt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ebenfalls einen Spitzenplatz in der Vergleichsgruppe der „Global </w:t>
      </w:r>
      <w:proofErr w:type="spellStart"/>
      <w:r w:rsidRPr="005515EB">
        <w:rPr>
          <w:rFonts w:asciiTheme="majorHAnsi" w:hAnsiTheme="majorHAnsi" w:cstheme="majorHAnsi"/>
        </w:rPr>
        <w:t>Vendors</w:t>
      </w:r>
      <w:proofErr w:type="spellEnd"/>
      <w:r w:rsidRPr="005515EB">
        <w:rPr>
          <w:rFonts w:asciiTheme="majorHAnsi" w:hAnsiTheme="majorHAnsi" w:cstheme="majorHAnsi"/>
        </w:rPr>
        <w:t xml:space="preserve">“; über 90 % der Anwender bewerteten die Funktionalität mit „sehr gut“ oder “gut“.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stellt seinen Kunden ein eigenes, leistungsfähiges Tool für die Anbindung von Cloud- und On-</w:t>
      </w:r>
      <w:proofErr w:type="spellStart"/>
      <w:r w:rsidRPr="005515EB">
        <w:rPr>
          <w:rFonts w:asciiTheme="majorHAnsi" w:hAnsiTheme="majorHAnsi" w:cstheme="majorHAnsi"/>
        </w:rPr>
        <w:t>Premises</w:t>
      </w:r>
      <w:proofErr w:type="spellEnd"/>
      <w:r w:rsidRPr="005515EB">
        <w:rPr>
          <w:rFonts w:asciiTheme="majorHAnsi" w:hAnsiTheme="majorHAnsi" w:cstheme="majorHAnsi"/>
        </w:rPr>
        <w:t xml:space="preserve">-Datenquellen sowie vorgefertigte Konnektoren für ERP, CRM und BI-Systeme, u. a. zu SAP, </w:t>
      </w:r>
      <w:proofErr w:type="spellStart"/>
      <w:r w:rsidRPr="005515EB">
        <w:rPr>
          <w:rFonts w:asciiTheme="majorHAnsi" w:hAnsiTheme="majorHAnsi" w:cstheme="majorHAnsi"/>
        </w:rPr>
        <w:t>Salesforce</w:t>
      </w:r>
      <w:proofErr w:type="spellEnd"/>
      <w:r w:rsidRPr="005515EB">
        <w:rPr>
          <w:rFonts w:asciiTheme="majorHAnsi" w:hAnsiTheme="majorHAnsi" w:cstheme="majorHAnsi"/>
        </w:rPr>
        <w:t xml:space="preserve">, Power BI, </w:t>
      </w:r>
      <w:proofErr w:type="spellStart"/>
      <w:r w:rsidRPr="005515EB">
        <w:rPr>
          <w:rFonts w:asciiTheme="majorHAnsi" w:hAnsiTheme="majorHAnsi" w:cstheme="majorHAnsi"/>
        </w:rPr>
        <w:t>Qlik</w:t>
      </w:r>
      <w:proofErr w:type="spellEnd"/>
      <w:r w:rsidRPr="005515EB">
        <w:rPr>
          <w:rFonts w:asciiTheme="majorHAnsi" w:hAnsiTheme="majorHAnsi" w:cstheme="majorHAnsi"/>
        </w:rPr>
        <w:t xml:space="preserve"> und Tableau zur Verfügung.</w:t>
      </w:r>
    </w:p>
    <w:p w14:paraId="188534CA" w14:textId="77777777" w:rsidR="00D7256E" w:rsidRPr="005515EB" w:rsidRDefault="00D7256E" w:rsidP="005515EB">
      <w:pPr>
        <w:numPr>
          <w:ilvl w:val="0"/>
          <w:numId w:val="36"/>
        </w:numPr>
        <w:shd w:val="clear" w:color="auto" w:fill="FFFFFF"/>
        <w:spacing w:before="100" w:beforeAutospacing="1" w:after="100" w:afterAutospacing="1" w:line="276" w:lineRule="auto"/>
        <w:jc w:val="both"/>
        <w:rPr>
          <w:rFonts w:asciiTheme="majorHAnsi" w:hAnsiTheme="majorHAnsi" w:cstheme="majorHAnsi"/>
        </w:rPr>
      </w:pPr>
      <w:r w:rsidRPr="005515EB">
        <w:rPr>
          <w:rFonts w:asciiTheme="majorHAnsi" w:hAnsiTheme="majorHAnsi" w:cstheme="majorHAnsi"/>
        </w:rPr>
        <w:t>In der Kategorie „</w:t>
      </w:r>
      <w:proofErr w:type="spellStart"/>
      <w:r w:rsidRPr="005515EB">
        <w:rPr>
          <w:rFonts w:asciiTheme="majorHAnsi" w:hAnsiTheme="majorHAnsi" w:cstheme="majorHAnsi"/>
        </w:rPr>
        <w:t>Flexibility</w:t>
      </w:r>
      <w:proofErr w:type="spellEnd"/>
      <w:r w:rsidRPr="005515EB">
        <w:rPr>
          <w:rFonts w:asciiTheme="majorHAnsi" w:hAnsiTheme="majorHAnsi" w:cstheme="majorHAnsi"/>
        </w:rPr>
        <w:t xml:space="preserve">“ würdigen die Befragten des Planning Survey die vielen Möglichkeiten von </w:t>
      </w:r>
      <w:proofErr w:type="spellStart"/>
      <w:r w:rsidRPr="005515EB">
        <w:rPr>
          <w:rFonts w:asciiTheme="majorHAnsi" w:hAnsiTheme="majorHAnsi" w:cstheme="majorHAnsi"/>
        </w:rPr>
        <w:t>Jedox</w:t>
      </w:r>
      <w:proofErr w:type="spellEnd"/>
      <w:r w:rsidRPr="005515EB">
        <w:rPr>
          <w:rFonts w:asciiTheme="majorHAnsi" w:hAnsiTheme="majorHAnsi" w:cstheme="majorHAnsi"/>
        </w:rPr>
        <w:t>, die sich in verschiedenen Planungsfunktionen und -themen (z. B. Vertrieb, Produktion, Einkauf, Finanzen) manifestieren.</w:t>
      </w:r>
    </w:p>
    <w:p w14:paraId="4946EDF1" w14:textId="77777777" w:rsidR="00D7256E" w:rsidRPr="005515EB" w:rsidRDefault="00D7256E" w:rsidP="005515EB">
      <w:pPr>
        <w:numPr>
          <w:ilvl w:val="0"/>
          <w:numId w:val="36"/>
        </w:numPr>
        <w:shd w:val="clear" w:color="auto" w:fill="FFFFFF"/>
        <w:spacing w:before="100" w:beforeAutospacing="1" w:after="100" w:afterAutospacing="1" w:line="276" w:lineRule="auto"/>
        <w:jc w:val="both"/>
        <w:rPr>
          <w:rFonts w:asciiTheme="majorHAnsi" w:hAnsiTheme="majorHAnsi" w:cstheme="majorHAnsi"/>
        </w:rPr>
      </w:pPr>
      <w:r w:rsidRPr="005515EB">
        <w:rPr>
          <w:rFonts w:asciiTheme="majorHAnsi" w:hAnsiTheme="majorHAnsi" w:cstheme="majorHAnsi"/>
        </w:rPr>
        <w:t xml:space="preserve">In der Kategorie „Self-service“ erzielt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in diesem Jahr die Spitzenposition in der Vergleichsgruppe „Global </w:t>
      </w:r>
      <w:proofErr w:type="spellStart"/>
      <w:r w:rsidRPr="005515EB">
        <w:rPr>
          <w:rFonts w:asciiTheme="majorHAnsi" w:hAnsiTheme="majorHAnsi" w:cstheme="majorHAnsi"/>
        </w:rPr>
        <w:t>Vendors</w:t>
      </w:r>
      <w:proofErr w:type="spellEnd"/>
      <w:r w:rsidRPr="005515EB">
        <w:rPr>
          <w:rFonts w:asciiTheme="majorHAnsi" w:hAnsiTheme="majorHAnsi" w:cstheme="majorHAnsi"/>
        </w:rPr>
        <w:t xml:space="preserve">“ und knüpft damit an die Erfolge aus den Umfragen der vergangenen Jahre an. Mit vordefinierten Modellen auf dem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Marketplace lässt sich beispielsweise die Vertriebsplanung schnell modernisieren.</w:t>
      </w:r>
    </w:p>
    <w:p w14:paraId="4123181C" w14:textId="77777777" w:rsidR="00D7256E" w:rsidRPr="005515EB" w:rsidRDefault="00D7256E" w:rsidP="005515EB">
      <w:pPr>
        <w:pStyle w:val="berschrift2"/>
        <w:shd w:val="clear" w:color="auto" w:fill="FFFFFF"/>
        <w:spacing w:after="120" w:line="276" w:lineRule="auto"/>
        <w:jc w:val="both"/>
        <w:rPr>
          <w:rFonts w:asciiTheme="majorHAnsi" w:hAnsiTheme="majorHAnsi" w:cstheme="majorHAnsi"/>
          <w:b/>
          <w:bCs/>
          <w:i w:val="0"/>
          <w:sz w:val="24"/>
        </w:rPr>
      </w:pPr>
      <w:r w:rsidRPr="005515EB">
        <w:rPr>
          <w:rFonts w:asciiTheme="majorHAnsi" w:hAnsiTheme="majorHAnsi" w:cstheme="majorHAnsi"/>
          <w:b/>
          <w:i w:val="0"/>
          <w:sz w:val="24"/>
        </w:rPr>
        <w:t>Von Anwendern empfohlen</w:t>
      </w:r>
    </w:p>
    <w:p w14:paraId="6A66DA20" w14:textId="2602FE14" w:rsidR="00D7256E" w:rsidRPr="005515EB" w:rsidRDefault="00D7256E" w:rsidP="005515EB">
      <w:pPr>
        <w:pStyle w:val="StandardWeb"/>
        <w:shd w:val="clear" w:color="auto" w:fill="FFFFFF"/>
        <w:spacing w:before="0" w:beforeAutospacing="0" w:after="300" w:afterAutospacing="0" w:line="276" w:lineRule="auto"/>
        <w:jc w:val="both"/>
        <w:rPr>
          <w:rFonts w:asciiTheme="majorHAnsi" w:hAnsiTheme="majorHAnsi" w:cstheme="majorHAnsi"/>
        </w:rPr>
      </w:pPr>
      <w:r w:rsidRPr="005515EB">
        <w:rPr>
          <w:rFonts w:asciiTheme="majorHAnsi" w:hAnsiTheme="majorHAnsi" w:cstheme="majorHAnsi"/>
        </w:rPr>
        <w:t>Sowohl in der Kategorie „</w:t>
      </w:r>
      <w:proofErr w:type="spellStart"/>
      <w:r w:rsidRPr="005515EB">
        <w:rPr>
          <w:rFonts w:asciiTheme="majorHAnsi" w:hAnsiTheme="majorHAnsi" w:cstheme="majorHAnsi"/>
        </w:rPr>
        <w:t>Recommendation</w:t>
      </w:r>
      <w:proofErr w:type="spellEnd"/>
      <w:r w:rsidRPr="005515EB">
        <w:rPr>
          <w:rFonts w:asciiTheme="majorHAnsi" w:hAnsiTheme="majorHAnsi" w:cstheme="majorHAnsi"/>
        </w:rPr>
        <w:t>“ als auch in der Kategorie „Price-</w:t>
      </w:r>
      <w:proofErr w:type="spellStart"/>
      <w:r w:rsidRPr="005515EB">
        <w:rPr>
          <w:rFonts w:asciiTheme="majorHAnsi" w:hAnsiTheme="majorHAnsi" w:cstheme="majorHAnsi"/>
        </w:rPr>
        <w:t>to</w:t>
      </w:r>
      <w:proofErr w:type="spellEnd"/>
      <w:r w:rsidRPr="005515EB">
        <w:rPr>
          <w:rFonts w:asciiTheme="majorHAnsi" w:hAnsiTheme="majorHAnsi" w:cstheme="majorHAnsi"/>
        </w:rPr>
        <w:t>-</w:t>
      </w:r>
      <w:proofErr w:type="spellStart"/>
      <w:r w:rsidRPr="005515EB">
        <w:rPr>
          <w:rFonts w:asciiTheme="majorHAnsi" w:hAnsiTheme="majorHAnsi" w:cstheme="majorHAnsi"/>
        </w:rPr>
        <w:t>value</w:t>
      </w:r>
      <w:proofErr w:type="spellEnd"/>
      <w:r w:rsidRPr="005515EB">
        <w:rPr>
          <w:rFonts w:asciiTheme="majorHAnsi" w:hAnsiTheme="majorHAnsi" w:cstheme="majorHAnsi"/>
        </w:rPr>
        <w:t xml:space="preserve">“ hat </w:t>
      </w: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führende Top-3-Platzierungen in der Vergleichsgruppe „Global </w:t>
      </w:r>
      <w:proofErr w:type="spellStart"/>
      <w:r w:rsidRPr="005515EB">
        <w:rPr>
          <w:rFonts w:asciiTheme="majorHAnsi" w:hAnsiTheme="majorHAnsi" w:cstheme="majorHAnsi"/>
        </w:rPr>
        <w:t>Vendors</w:t>
      </w:r>
      <w:proofErr w:type="spellEnd"/>
      <w:r w:rsidRPr="005515EB">
        <w:rPr>
          <w:rFonts w:asciiTheme="majorHAnsi" w:hAnsiTheme="majorHAnsi" w:cstheme="majorHAnsi"/>
        </w:rPr>
        <w:t>“ erreicht, was erneut die hohe Kundenzufriedenheit und das gute Preis-Leistungs-Verhältnis bei umfassender Funktionalität für eine Vielzahl von Anwendungsfällen in der Planung und Analyse bestätigt.</w:t>
      </w:r>
      <w:r w:rsidR="005515EB">
        <w:rPr>
          <w:rFonts w:asciiTheme="majorHAnsi" w:hAnsiTheme="majorHAnsi" w:cstheme="majorHAnsi"/>
        </w:rPr>
        <w:t xml:space="preserve"> </w:t>
      </w:r>
      <w:bookmarkStart w:id="0" w:name="_GoBack"/>
      <w:bookmarkEnd w:id="0"/>
    </w:p>
    <w:p w14:paraId="06CAF271" w14:textId="77777777" w:rsidR="00D7256E" w:rsidRPr="005515EB" w:rsidRDefault="00D7256E" w:rsidP="005515EB">
      <w:pPr>
        <w:pStyle w:val="berschrift2"/>
        <w:shd w:val="clear" w:color="auto" w:fill="FFFFFF"/>
        <w:spacing w:after="120" w:line="276" w:lineRule="auto"/>
        <w:jc w:val="both"/>
        <w:rPr>
          <w:rFonts w:asciiTheme="majorHAnsi" w:hAnsiTheme="majorHAnsi" w:cstheme="majorHAnsi"/>
          <w:b/>
          <w:bCs/>
          <w:i w:val="0"/>
          <w:sz w:val="24"/>
        </w:rPr>
      </w:pPr>
      <w:r w:rsidRPr="005515EB">
        <w:rPr>
          <w:rFonts w:asciiTheme="majorHAnsi" w:hAnsiTheme="majorHAnsi" w:cstheme="majorHAnsi"/>
          <w:b/>
          <w:i w:val="0"/>
          <w:sz w:val="24"/>
        </w:rPr>
        <w:t>Über The Planning Survey 20</w:t>
      </w:r>
    </w:p>
    <w:p w14:paraId="32C39359" w14:textId="77777777" w:rsidR="00D7256E" w:rsidRPr="005515EB" w:rsidRDefault="00D7256E" w:rsidP="005515EB">
      <w:pPr>
        <w:pStyle w:val="StandardWeb"/>
        <w:shd w:val="clear" w:color="auto" w:fill="FFFFFF"/>
        <w:spacing w:before="0" w:beforeAutospacing="0" w:after="300" w:afterAutospacing="0" w:line="276" w:lineRule="auto"/>
        <w:jc w:val="both"/>
        <w:rPr>
          <w:rFonts w:asciiTheme="majorHAnsi" w:hAnsiTheme="majorHAnsi" w:cstheme="majorHAnsi"/>
        </w:rPr>
      </w:pPr>
      <w:r w:rsidRPr="005515EB">
        <w:rPr>
          <w:rFonts w:asciiTheme="majorHAnsi" w:hAnsiTheme="majorHAnsi" w:cstheme="majorHAnsi"/>
        </w:rPr>
        <w:t>Die weltweit größte und ausführlichste Studie ihrer Art „The Planning Survey 20“ wurde von November 2019 bis Februar 2020 von BARC durchgeführt. Dafür beantworteten insgesamt 1.406 internationale Teilnehmer einen Fragenkatalog zu ihrer Planungslösung. Der Survey liefert einen Überblick über </w:t>
      </w:r>
      <w:hyperlink r:id="rId11" w:history="1">
        <w:r w:rsidRPr="005515EB">
          <w:rPr>
            <w:rStyle w:val="Hyperlink"/>
            <w:rFonts w:asciiTheme="majorHAnsi" w:hAnsiTheme="majorHAnsi" w:cstheme="majorHAnsi"/>
            <w:color w:val="auto"/>
          </w:rPr>
          <w:t>23 führende Planungssoftware-Produkte</w:t>
        </w:r>
      </w:hyperlink>
      <w:r w:rsidRPr="005515EB">
        <w:rPr>
          <w:rFonts w:asciiTheme="majorHAnsi" w:hAnsiTheme="majorHAnsi" w:cstheme="majorHAnsi"/>
        </w:rPr>
        <w:t xml:space="preserve"> und vergleicht diese anhand von 30 verschiedenen Key Performance </w:t>
      </w:r>
      <w:proofErr w:type="spellStart"/>
      <w:r w:rsidRPr="005515EB">
        <w:rPr>
          <w:rFonts w:asciiTheme="majorHAnsi" w:hAnsiTheme="majorHAnsi" w:cstheme="majorHAnsi"/>
        </w:rPr>
        <w:t>Indicators</w:t>
      </w:r>
      <w:proofErr w:type="spellEnd"/>
      <w:r w:rsidRPr="005515EB">
        <w:rPr>
          <w:rFonts w:asciiTheme="majorHAnsi" w:hAnsiTheme="majorHAnsi" w:cstheme="majorHAnsi"/>
        </w:rPr>
        <w:t xml:space="preserve"> wie Business Value, Weiterempfehlungsrate, Datenintegration, Customer Experience, Planungsfunktionalität und Wettbewerbsfähigkeit. Weitere Informationen unter </w:t>
      </w:r>
      <w:hyperlink r:id="rId12" w:history="1">
        <w:r w:rsidRPr="005515EB">
          <w:rPr>
            <w:rStyle w:val="Hyperlink"/>
            <w:rFonts w:asciiTheme="majorHAnsi" w:hAnsiTheme="majorHAnsi" w:cstheme="majorHAnsi"/>
            <w:color w:val="auto"/>
          </w:rPr>
          <w:t>https://bi-survey.com</w:t>
        </w:r>
      </w:hyperlink>
      <w:r w:rsidRPr="005515EB">
        <w:rPr>
          <w:rFonts w:asciiTheme="majorHAnsi" w:hAnsiTheme="majorHAnsi" w:cstheme="majorHAnsi"/>
        </w:rPr>
        <w:t>.</w:t>
      </w:r>
    </w:p>
    <w:p w14:paraId="13F87CF3" w14:textId="77777777" w:rsidR="00D7256E" w:rsidRPr="005515EB" w:rsidRDefault="00D7256E" w:rsidP="00D7256E">
      <w:pPr>
        <w:rPr>
          <w:rFonts w:asciiTheme="majorHAnsi" w:hAnsiTheme="majorHAnsi" w:cstheme="majorHAnsi"/>
        </w:rPr>
      </w:pPr>
    </w:p>
    <w:p w14:paraId="2C47CB45" w14:textId="77777777" w:rsidR="00B11CC7" w:rsidRPr="005515EB" w:rsidRDefault="00B11CC7" w:rsidP="00B11CC7">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color w:val="auto"/>
          <w:szCs w:val="24"/>
        </w:rPr>
      </w:pPr>
    </w:p>
    <w:p w14:paraId="47E69F87" w14:textId="21CFE83E" w:rsidR="00276108" w:rsidRDefault="002E2490" w:rsidP="005515EB">
      <w:pPr>
        <w:pStyle w:val="paragraph"/>
        <w:spacing w:before="0" w:beforeAutospacing="0" w:after="0" w:afterAutospacing="0"/>
        <w:textAlignment w:val="baseline"/>
        <w:rPr>
          <w:rStyle w:val="spellingerror"/>
          <w:rFonts w:asciiTheme="majorHAnsi" w:hAnsiTheme="majorHAnsi" w:cstheme="majorHAnsi"/>
          <w:b/>
          <w:bCs/>
          <w:sz w:val="22"/>
          <w:szCs w:val="22"/>
        </w:rPr>
      </w:pPr>
      <w:r w:rsidRPr="005515EB">
        <w:rPr>
          <w:rStyle w:val="spellingerror"/>
          <w:rFonts w:asciiTheme="majorHAnsi" w:hAnsiTheme="majorHAnsi" w:cstheme="majorHAnsi"/>
          <w:b/>
          <w:bCs/>
          <w:sz w:val="22"/>
          <w:szCs w:val="22"/>
        </w:rPr>
        <w:lastRenderedPageBreak/>
        <w:t>Weitere Informationen</w:t>
      </w:r>
      <w:r w:rsidR="005515EB">
        <w:rPr>
          <w:rStyle w:val="spellingerror"/>
          <w:rFonts w:asciiTheme="majorHAnsi" w:hAnsiTheme="majorHAnsi" w:cstheme="majorHAnsi"/>
          <w:b/>
          <w:bCs/>
          <w:sz w:val="22"/>
          <w:szCs w:val="22"/>
        </w:rPr>
        <w:t>:</w:t>
      </w:r>
      <w:r w:rsidRPr="005515EB">
        <w:rPr>
          <w:rStyle w:val="spellingerror"/>
          <w:rFonts w:asciiTheme="majorHAnsi" w:hAnsiTheme="majorHAnsi" w:cstheme="majorHAnsi"/>
          <w:b/>
          <w:bCs/>
          <w:sz w:val="22"/>
          <w:szCs w:val="22"/>
        </w:rPr>
        <w:t xml:space="preserve"> </w:t>
      </w:r>
    </w:p>
    <w:p w14:paraId="400D6458" w14:textId="77777777" w:rsidR="005515EB" w:rsidRDefault="005515EB" w:rsidP="005515EB">
      <w:pPr>
        <w:pStyle w:val="paragraph"/>
        <w:spacing w:before="0" w:beforeAutospacing="0" w:after="0" w:afterAutospacing="0"/>
        <w:textAlignment w:val="baseline"/>
        <w:rPr>
          <w:rStyle w:val="spellingerror"/>
          <w:rFonts w:asciiTheme="majorHAnsi" w:hAnsiTheme="majorHAnsi" w:cstheme="majorHAnsi"/>
          <w:b/>
          <w:bCs/>
          <w:sz w:val="22"/>
          <w:szCs w:val="22"/>
        </w:rPr>
      </w:pPr>
    </w:p>
    <w:p w14:paraId="5CCF6B4B" w14:textId="6D67F1F1" w:rsidR="005515EB" w:rsidRPr="005515EB" w:rsidRDefault="005515EB" w:rsidP="005515EB">
      <w:pPr>
        <w:pStyle w:val="paragraph"/>
        <w:spacing w:before="0" w:beforeAutospacing="0" w:after="0" w:afterAutospacing="0"/>
        <w:textAlignment w:val="baseline"/>
        <w:rPr>
          <w:rStyle w:val="Hyperlink"/>
          <w:rFonts w:asciiTheme="majorHAnsi" w:hAnsiTheme="majorHAnsi" w:cstheme="majorHAnsi"/>
          <w:b/>
          <w:color w:val="auto"/>
          <w:lang w:val="en-US"/>
        </w:rPr>
      </w:pPr>
      <w:proofErr w:type="spellStart"/>
      <w:r w:rsidRPr="005515EB">
        <w:rPr>
          <w:rStyle w:val="Hyperlink"/>
          <w:rFonts w:asciiTheme="majorHAnsi" w:hAnsiTheme="majorHAnsi" w:cstheme="majorHAnsi"/>
          <w:b/>
          <w:color w:val="auto"/>
          <w:lang w:val="en-US"/>
        </w:rPr>
        <w:t>Jedox</w:t>
      </w:r>
      <w:proofErr w:type="spellEnd"/>
      <w:r w:rsidRPr="005515EB">
        <w:rPr>
          <w:rStyle w:val="Hyperlink"/>
          <w:rFonts w:asciiTheme="majorHAnsi" w:hAnsiTheme="majorHAnsi" w:cstheme="majorHAnsi"/>
          <w:b/>
          <w:color w:val="auto"/>
          <w:lang w:val="en-US"/>
        </w:rPr>
        <w:t xml:space="preserve"> Highlights Report </w:t>
      </w:r>
      <w:proofErr w:type="spellStart"/>
      <w:r w:rsidRPr="005515EB">
        <w:rPr>
          <w:rStyle w:val="Hyperlink"/>
          <w:rFonts w:asciiTheme="majorHAnsi" w:hAnsiTheme="majorHAnsi" w:cstheme="majorHAnsi"/>
          <w:b/>
          <w:color w:val="auto"/>
          <w:lang w:val="en-US"/>
        </w:rPr>
        <w:t>zum</w:t>
      </w:r>
      <w:proofErr w:type="spellEnd"/>
      <w:r w:rsidRPr="005515EB">
        <w:rPr>
          <w:rStyle w:val="Hyperlink"/>
          <w:rFonts w:asciiTheme="majorHAnsi" w:hAnsiTheme="majorHAnsi" w:cstheme="majorHAnsi"/>
          <w:b/>
          <w:color w:val="auto"/>
          <w:lang w:val="en-US"/>
        </w:rPr>
        <w:t xml:space="preserve"> Planning Survey 20 </w:t>
      </w:r>
      <w:proofErr w:type="spellStart"/>
      <w:r w:rsidRPr="005515EB">
        <w:rPr>
          <w:rStyle w:val="Hyperlink"/>
          <w:rFonts w:asciiTheme="majorHAnsi" w:hAnsiTheme="majorHAnsi" w:cstheme="majorHAnsi"/>
          <w:b/>
          <w:color w:val="auto"/>
          <w:lang w:val="en-US"/>
        </w:rPr>
        <w:t>hier</w:t>
      </w:r>
      <w:proofErr w:type="spellEnd"/>
      <w:r w:rsidRPr="005515EB">
        <w:rPr>
          <w:rStyle w:val="Hyperlink"/>
          <w:rFonts w:asciiTheme="majorHAnsi" w:hAnsiTheme="majorHAnsi" w:cstheme="majorHAnsi"/>
          <w:b/>
          <w:color w:val="auto"/>
          <w:lang w:val="en-US"/>
        </w:rPr>
        <w:t xml:space="preserve"> </w:t>
      </w:r>
      <w:proofErr w:type="spellStart"/>
      <w:r w:rsidRPr="005515EB">
        <w:rPr>
          <w:rStyle w:val="Hyperlink"/>
          <w:rFonts w:asciiTheme="majorHAnsi" w:hAnsiTheme="majorHAnsi" w:cstheme="majorHAnsi"/>
          <w:b/>
          <w:color w:val="auto"/>
          <w:lang w:val="en-US"/>
        </w:rPr>
        <w:t>downloaden</w:t>
      </w:r>
      <w:proofErr w:type="spellEnd"/>
      <w:r w:rsidRPr="005515EB">
        <w:rPr>
          <w:rStyle w:val="Hyperlink"/>
          <w:rFonts w:asciiTheme="majorHAnsi" w:hAnsiTheme="majorHAnsi" w:cstheme="majorHAnsi"/>
          <w:b/>
          <w:color w:val="auto"/>
          <w:lang w:val="en-US"/>
        </w:rPr>
        <w:t>:</w:t>
      </w:r>
    </w:p>
    <w:p w14:paraId="38B1C070" w14:textId="77777777" w:rsidR="005515EB" w:rsidRDefault="005515EB" w:rsidP="005515EB">
      <w:pPr>
        <w:pStyle w:val="paragraph"/>
        <w:spacing w:before="0" w:beforeAutospacing="0" w:after="0" w:afterAutospacing="0"/>
        <w:textAlignment w:val="baseline"/>
        <w:rPr>
          <w:rStyle w:val="Hyperlink"/>
          <w:rFonts w:asciiTheme="majorHAnsi" w:hAnsiTheme="majorHAnsi" w:cstheme="majorHAnsi"/>
          <w:color w:val="auto"/>
          <w:lang w:val="en-US"/>
        </w:rPr>
      </w:pPr>
    </w:p>
    <w:p w14:paraId="56668790" w14:textId="122ADB7D" w:rsidR="005515EB" w:rsidRDefault="005515EB" w:rsidP="005515EB">
      <w:pPr>
        <w:pStyle w:val="paragraph"/>
        <w:spacing w:before="0" w:beforeAutospacing="0" w:after="0" w:afterAutospacing="0"/>
        <w:textAlignment w:val="baseline"/>
        <w:rPr>
          <w:rStyle w:val="spellingerror"/>
          <w:rFonts w:asciiTheme="majorHAnsi" w:hAnsiTheme="majorHAnsi" w:cstheme="majorHAnsi"/>
          <w:b/>
          <w:bCs/>
          <w:sz w:val="22"/>
          <w:szCs w:val="22"/>
          <w:lang w:val="en-US"/>
        </w:rPr>
      </w:pPr>
      <w:hyperlink r:id="rId13" w:history="1">
        <w:r w:rsidRPr="00CD4C26">
          <w:rPr>
            <w:rStyle w:val="Hyperlink"/>
            <w:rFonts w:asciiTheme="majorHAnsi" w:hAnsiTheme="majorHAnsi" w:cstheme="majorHAnsi"/>
            <w:b/>
            <w:bCs/>
            <w:sz w:val="22"/>
            <w:szCs w:val="22"/>
            <w:lang w:val="en-US"/>
          </w:rPr>
          <w:t>https://www.jedox.com/de/ressourcen/analyst-barc-planning-survey/</w:t>
        </w:r>
      </w:hyperlink>
    </w:p>
    <w:p w14:paraId="5E436030" w14:textId="77777777" w:rsidR="005515EB" w:rsidRPr="005515EB" w:rsidRDefault="005515EB" w:rsidP="005515EB">
      <w:pPr>
        <w:pStyle w:val="paragraph"/>
        <w:spacing w:before="0" w:beforeAutospacing="0" w:after="0" w:afterAutospacing="0"/>
        <w:textAlignment w:val="baseline"/>
        <w:rPr>
          <w:rStyle w:val="spellingerror"/>
          <w:rFonts w:asciiTheme="majorHAnsi" w:hAnsiTheme="majorHAnsi" w:cstheme="majorHAnsi"/>
          <w:b/>
          <w:bCs/>
          <w:sz w:val="22"/>
          <w:szCs w:val="22"/>
          <w:lang w:val="en-US"/>
        </w:rPr>
      </w:pPr>
    </w:p>
    <w:p w14:paraId="47B9ABF4" w14:textId="77777777" w:rsidR="005515EB" w:rsidRPr="00981CE8" w:rsidRDefault="005515EB" w:rsidP="009C11E6">
      <w:pPr>
        <w:pStyle w:val="StandardWeb"/>
        <w:spacing w:before="0" w:beforeAutospacing="0" w:after="0" w:afterAutospacing="0" w:line="276" w:lineRule="auto"/>
        <w:jc w:val="both"/>
        <w:rPr>
          <w:rFonts w:asciiTheme="majorHAnsi" w:hAnsiTheme="majorHAnsi" w:cstheme="majorHAnsi"/>
          <w:b/>
          <w:bCs/>
          <w:lang w:val="en-US"/>
        </w:rPr>
      </w:pPr>
    </w:p>
    <w:p w14:paraId="6C61644E" w14:textId="77777777" w:rsidR="009C11E6" w:rsidRPr="005515EB" w:rsidRDefault="009C11E6" w:rsidP="009C11E6">
      <w:pPr>
        <w:pStyle w:val="StandardWeb"/>
        <w:spacing w:before="0" w:beforeAutospacing="0" w:after="0" w:afterAutospacing="0" w:line="276" w:lineRule="auto"/>
        <w:jc w:val="both"/>
        <w:rPr>
          <w:rFonts w:asciiTheme="majorHAnsi" w:hAnsiTheme="majorHAnsi" w:cstheme="majorHAnsi"/>
          <w:b/>
          <w:bCs/>
        </w:rPr>
      </w:pPr>
      <w:r w:rsidRPr="005515EB">
        <w:rPr>
          <w:rFonts w:asciiTheme="majorHAnsi" w:hAnsiTheme="majorHAnsi" w:cstheme="majorHAnsi"/>
          <w:b/>
          <w:bCs/>
        </w:rPr>
        <w:t xml:space="preserve">Über </w:t>
      </w:r>
      <w:proofErr w:type="spellStart"/>
      <w:r w:rsidRPr="005515EB">
        <w:rPr>
          <w:rFonts w:asciiTheme="majorHAnsi" w:hAnsiTheme="majorHAnsi" w:cstheme="majorHAnsi"/>
          <w:b/>
          <w:bCs/>
        </w:rPr>
        <w:t>Jedox</w:t>
      </w:r>
      <w:proofErr w:type="spellEnd"/>
    </w:p>
    <w:p w14:paraId="7A06FC9A" w14:textId="09368E60" w:rsidR="00145AE2" w:rsidRPr="005515EB" w:rsidRDefault="009C11E6" w:rsidP="00C00832">
      <w:pPr>
        <w:pStyle w:val="StandardWeb"/>
        <w:spacing w:before="0" w:beforeAutospacing="0" w:after="0" w:afterAutospacing="0" w:line="276" w:lineRule="auto"/>
        <w:jc w:val="both"/>
        <w:rPr>
          <w:rFonts w:asciiTheme="majorHAnsi" w:hAnsiTheme="majorHAnsi" w:cstheme="majorHAnsi"/>
        </w:rPr>
      </w:pP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vereinfacht Planung, Analyse und Reporting mit einer integrierten und cloudbasierten Software-Suite. Unternehmen jeglicher Größe und Branche werden dabei unterstützt, datengetriebene Geschäftsprozesse abteilungsübergreifend und selbstständig durchzuführen und Entscheidungen auf einer</w:t>
      </w:r>
      <w:r w:rsidR="00C00832" w:rsidRPr="005515EB">
        <w:rPr>
          <w:rFonts w:asciiTheme="majorHAnsi" w:hAnsiTheme="majorHAnsi" w:cstheme="majorHAnsi"/>
        </w:rPr>
        <w:t xml:space="preserve"> validen Datenbasis zu treffen.</w:t>
      </w:r>
    </w:p>
    <w:p w14:paraId="6F51E7B0" w14:textId="5F5C8EAF" w:rsidR="009C11E6" w:rsidRPr="005515EB" w:rsidRDefault="00145AE2" w:rsidP="00C00832">
      <w:pPr>
        <w:spacing w:line="276" w:lineRule="auto"/>
        <w:jc w:val="both"/>
        <w:rPr>
          <w:rFonts w:asciiTheme="majorHAnsi" w:hAnsiTheme="majorHAnsi" w:cstheme="majorHAnsi"/>
        </w:rPr>
      </w:pPr>
      <w:r w:rsidRPr="005515EB">
        <w:rPr>
          <w:rFonts w:asciiTheme="majorHAnsi" w:hAnsiTheme="majorHAnsi" w:cstheme="majorHAnsi"/>
          <w:iCs/>
        </w:rPr>
        <w:t xml:space="preserve">Rund 2500 Unternehmen in mehr als 140 Ländern nutzen </w:t>
      </w:r>
      <w:proofErr w:type="spellStart"/>
      <w:r w:rsidRPr="005515EB">
        <w:rPr>
          <w:rFonts w:asciiTheme="majorHAnsi" w:hAnsiTheme="majorHAnsi" w:cstheme="majorHAnsi"/>
          <w:iCs/>
        </w:rPr>
        <w:t>Jedox</w:t>
      </w:r>
      <w:proofErr w:type="spellEnd"/>
      <w:r w:rsidRPr="005515EB">
        <w:rPr>
          <w:rFonts w:asciiTheme="majorHAnsi" w:hAnsiTheme="majorHAnsi" w:cstheme="majorHAnsi"/>
          <w:iCs/>
        </w:rPr>
        <w:t xml:space="preserve"> bereits für ihre Realtime-Planungslösungen. Dabei haben sie die Wahl zwischen einer Public Cloud-, einer Private Cloud- oder einer </w:t>
      </w:r>
      <w:r w:rsidR="00E923E2" w:rsidRPr="005515EB">
        <w:rPr>
          <w:rFonts w:asciiTheme="majorHAnsi" w:hAnsiTheme="majorHAnsi" w:cstheme="majorHAnsi"/>
          <w:iCs/>
        </w:rPr>
        <w:t>O</w:t>
      </w:r>
      <w:r w:rsidRPr="005515EB">
        <w:rPr>
          <w:rFonts w:asciiTheme="majorHAnsi" w:hAnsiTheme="majorHAnsi" w:cstheme="majorHAnsi"/>
          <w:iCs/>
        </w:rPr>
        <w:t>n-</w:t>
      </w:r>
      <w:proofErr w:type="spellStart"/>
      <w:r w:rsidRPr="005515EB">
        <w:rPr>
          <w:rFonts w:asciiTheme="majorHAnsi" w:hAnsiTheme="majorHAnsi" w:cstheme="majorHAnsi"/>
          <w:iCs/>
        </w:rPr>
        <w:t>Premises</w:t>
      </w:r>
      <w:proofErr w:type="spellEnd"/>
      <w:r w:rsidR="00E923E2" w:rsidRPr="005515EB">
        <w:rPr>
          <w:rFonts w:asciiTheme="majorHAnsi" w:hAnsiTheme="majorHAnsi" w:cstheme="majorHAnsi"/>
          <w:iCs/>
        </w:rPr>
        <w:t>-</w:t>
      </w:r>
      <w:r w:rsidRPr="005515EB">
        <w:rPr>
          <w:rFonts w:asciiTheme="majorHAnsi" w:hAnsiTheme="majorHAnsi" w:cstheme="majorHAnsi"/>
          <w:iCs/>
        </w:rPr>
        <w:t>Umgebung.</w:t>
      </w:r>
      <w:r w:rsidR="000C086E" w:rsidRPr="005515EB">
        <w:rPr>
          <w:rFonts w:asciiTheme="majorHAnsi" w:hAnsiTheme="majorHAnsi" w:cstheme="majorHAnsi"/>
          <w:i/>
          <w:iCs/>
        </w:rPr>
        <w:t xml:space="preserve"> </w:t>
      </w:r>
      <w:r w:rsidR="009C11E6" w:rsidRPr="005515EB">
        <w:rPr>
          <w:rFonts w:asciiTheme="majorHAnsi" w:hAnsiTheme="majorHAnsi" w:cstheme="majorHAnsi"/>
        </w:rPr>
        <w:t xml:space="preserve">Die 2002 gegründete </w:t>
      </w:r>
      <w:proofErr w:type="spellStart"/>
      <w:r w:rsidR="009C11E6" w:rsidRPr="005515EB">
        <w:rPr>
          <w:rFonts w:asciiTheme="majorHAnsi" w:hAnsiTheme="majorHAnsi" w:cstheme="majorHAnsi"/>
        </w:rPr>
        <w:t>Jedox</w:t>
      </w:r>
      <w:proofErr w:type="spellEnd"/>
      <w:r w:rsidR="009C11E6" w:rsidRPr="005515EB">
        <w:rPr>
          <w:rFonts w:asciiTheme="majorHAnsi" w:hAnsiTheme="majorHAnsi" w:cstheme="majorHAnsi"/>
        </w:rPr>
        <w:t xml:space="preserve"> AG zählt zu den führenden Anbietern von </w:t>
      </w:r>
      <w:r w:rsidR="004262B8" w:rsidRPr="005515EB">
        <w:rPr>
          <w:rFonts w:asciiTheme="majorHAnsi" w:hAnsiTheme="majorHAnsi" w:cstheme="majorHAnsi"/>
        </w:rPr>
        <w:t xml:space="preserve">Enterprise </w:t>
      </w:r>
      <w:r w:rsidR="009C11E6" w:rsidRPr="005515EB">
        <w:rPr>
          <w:rFonts w:asciiTheme="majorHAnsi" w:hAnsiTheme="majorHAnsi" w:cstheme="majorHAnsi"/>
        </w:rPr>
        <w:t>Performance Management</w:t>
      </w:r>
      <w:r w:rsidR="00E923E2" w:rsidRPr="005515EB">
        <w:rPr>
          <w:rFonts w:asciiTheme="majorHAnsi" w:hAnsiTheme="majorHAnsi" w:cstheme="majorHAnsi"/>
        </w:rPr>
        <w:t>-Lösungen</w:t>
      </w:r>
      <w:r w:rsidR="009C11E6" w:rsidRPr="005515EB">
        <w:rPr>
          <w:rFonts w:asciiTheme="majorHAnsi" w:hAnsiTheme="majorHAnsi" w:cstheme="majorHAnsi"/>
        </w:rPr>
        <w:t xml:space="preserve"> und BI kombiniert in einer integrierten Software. Mit Standorten auf vier Kontinenten und einem weltweiten Netzwerk aus über 250 Business-Partnern unterstreicht das Unternehmen seine internationale Ausrichtung. Unabhängige Analysten zeichnen </w:t>
      </w:r>
      <w:proofErr w:type="spellStart"/>
      <w:r w:rsidR="009C11E6" w:rsidRPr="005515EB">
        <w:rPr>
          <w:rFonts w:asciiTheme="majorHAnsi" w:hAnsiTheme="majorHAnsi" w:cstheme="majorHAnsi"/>
        </w:rPr>
        <w:t>Jedox</w:t>
      </w:r>
      <w:proofErr w:type="spellEnd"/>
      <w:r w:rsidR="009C11E6" w:rsidRPr="005515EB">
        <w:rPr>
          <w:rFonts w:asciiTheme="majorHAnsi" w:hAnsiTheme="majorHAnsi" w:cstheme="majorHAnsi"/>
        </w:rPr>
        <w:t xml:space="preserve"> regelmäßig für seine führenden </w:t>
      </w:r>
      <w:r w:rsidR="00F0729B" w:rsidRPr="005515EB">
        <w:rPr>
          <w:rFonts w:asciiTheme="majorHAnsi" w:hAnsiTheme="majorHAnsi" w:cstheme="majorHAnsi"/>
        </w:rPr>
        <w:t>Corporate</w:t>
      </w:r>
      <w:r w:rsidR="009C11E6" w:rsidRPr="005515EB">
        <w:rPr>
          <w:rFonts w:asciiTheme="majorHAnsi" w:hAnsiTheme="majorHAnsi" w:cstheme="majorHAnsi"/>
        </w:rPr>
        <w:t xml:space="preserve"> Planning-Lösungen aus.</w:t>
      </w:r>
    </w:p>
    <w:p w14:paraId="343245BF" w14:textId="77777777" w:rsidR="00656C2C" w:rsidRPr="005515EB" w:rsidRDefault="00656C2C" w:rsidP="00C00832">
      <w:pPr>
        <w:spacing w:line="276" w:lineRule="auto"/>
        <w:ind w:right="425"/>
        <w:rPr>
          <w:rFonts w:asciiTheme="majorHAnsi" w:hAnsiTheme="majorHAnsi" w:cstheme="majorHAnsi"/>
        </w:rPr>
      </w:pPr>
    </w:p>
    <w:p w14:paraId="07AA7F24" w14:textId="77777777" w:rsidR="005C2630" w:rsidRPr="005515EB" w:rsidRDefault="005C2630" w:rsidP="00656C2C">
      <w:pPr>
        <w:ind w:right="425"/>
        <w:rPr>
          <w:rFonts w:asciiTheme="majorHAnsi" w:hAnsiTheme="majorHAnsi" w:cstheme="majorHAnsi"/>
        </w:rPr>
      </w:pPr>
    </w:p>
    <w:p w14:paraId="32DC37E2" w14:textId="77777777" w:rsidR="005C2630" w:rsidRPr="005515EB" w:rsidRDefault="005C2630" w:rsidP="00656C2C">
      <w:pPr>
        <w:ind w:right="425"/>
        <w:rPr>
          <w:rFonts w:asciiTheme="majorHAnsi" w:hAnsiTheme="majorHAnsi" w:cstheme="majorHAnsi"/>
          <w:b/>
        </w:rPr>
      </w:pPr>
      <w:r w:rsidRPr="005515EB">
        <w:rPr>
          <w:rFonts w:asciiTheme="majorHAnsi" w:hAnsiTheme="majorHAnsi" w:cstheme="majorHAnsi"/>
          <w:b/>
        </w:rPr>
        <w:t>Kontakt:</w:t>
      </w:r>
    </w:p>
    <w:p w14:paraId="4558AE98" w14:textId="77777777" w:rsidR="005C2630" w:rsidRPr="005515EB" w:rsidRDefault="005C2630" w:rsidP="00656C2C">
      <w:pPr>
        <w:ind w:right="425"/>
        <w:rPr>
          <w:rFonts w:asciiTheme="majorHAnsi" w:hAnsiTheme="majorHAnsi" w:cstheme="majorHAnsi"/>
        </w:rPr>
      </w:pPr>
    </w:p>
    <w:p w14:paraId="762EE0B8" w14:textId="77777777" w:rsidR="005C2630" w:rsidRPr="005515EB" w:rsidRDefault="005C2630" w:rsidP="00656C2C">
      <w:pPr>
        <w:ind w:right="425"/>
        <w:rPr>
          <w:rFonts w:asciiTheme="majorHAnsi" w:hAnsiTheme="majorHAnsi" w:cstheme="majorHAnsi"/>
        </w:rPr>
      </w:pPr>
      <w:proofErr w:type="spellStart"/>
      <w:r w:rsidRPr="005515EB">
        <w:rPr>
          <w:rFonts w:asciiTheme="majorHAnsi" w:hAnsiTheme="majorHAnsi" w:cstheme="majorHAnsi"/>
        </w:rPr>
        <w:t>Jedox</w:t>
      </w:r>
      <w:proofErr w:type="spellEnd"/>
      <w:r w:rsidRPr="005515EB">
        <w:rPr>
          <w:rFonts w:asciiTheme="majorHAnsi" w:hAnsiTheme="majorHAnsi" w:cstheme="majorHAnsi"/>
        </w:rPr>
        <w:t xml:space="preserve"> AG</w:t>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t>U3 marketing Mainz</w:t>
      </w:r>
    </w:p>
    <w:p w14:paraId="060DD6A0" w14:textId="77E06660" w:rsidR="005C2630" w:rsidRPr="005515EB" w:rsidRDefault="005C2630" w:rsidP="00656C2C">
      <w:pPr>
        <w:ind w:right="425"/>
        <w:rPr>
          <w:rFonts w:asciiTheme="majorHAnsi" w:hAnsiTheme="majorHAnsi" w:cstheme="majorHAnsi"/>
          <w:lang w:val="it-IT"/>
        </w:rPr>
      </w:pPr>
      <w:proofErr w:type="spellStart"/>
      <w:r w:rsidRPr="005515EB">
        <w:rPr>
          <w:rFonts w:asciiTheme="majorHAnsi" w:hAnsiTheme="majorHAnsi" w:cstheme="majorHAnsi"/>
          <w:lang w:val="it-IT"/>
        </w:rPr>
        <w:t>Bismarckallee</w:t>
      </w:r>
      <w:proofErr w:type="spellEnd"/>
      <w:r w:rsidRPr="005515EB">
        <w:rPr>
          <w:rFonts w:asciiTheme="majorHAnsi" w:hAnsiTheme="majorHAnsi" w:cstheme="majorHAnsi"/>
          <w:lang w:val="it-IT"/>
        </w:rPr>
        <w:t xml:space="preserve"> 7a</w:t>
      </w:r>
      <w:r w:rsidRPr="005515EB">
        <w:rPr>
          <w:rFonts w:asciiTheme="majorHAnsi" w:hAnsiTheme="majorHAnsi" w:cstheme="majorHAnsi"/>
          <w:lang w:val="it-IT"/>
        </w:rPr>
        <w:tab/>
      </w:r>
      <w:r w:rsidRPr="005515EB">
        <w:rPr>
          <w:rFonts w:asciiTheme="majorHAnsi" w:hAnsiTheme="majorHAnsi" w:cstheme="majorHAnsi"/>
          <w:lang w:val="it-IT"/>
        </w:rPr>
        <w:tab/>
      </w:r>
      <w:r w:rsidRPr="005515EB">
        <w:rPr>
          <w:rFonts w:asciiTheme="majorHAnsi" w:hAnsiTheme="majorHAnsi" w:cstheme="majorHAnsi"/>
          <w:lang w:val="it-IT"/>
        </w:rPr>
        <w:tab/>
      </w:r>
      <w:r w:rsidRPr="005515EB">
        <w:rPr>
          <w:rFonts w:asciiTheme="majorHAnsi" w:hAnsiTheme="majorHAnsi" w:cstheme="majorHAnsi"/>
          <w:lang w:val="it-IT"/>
        </w:rPr>
        <w:tab/>
      </w:r>
      <w:r w:rsidRPr="005515EB">
        <w:rPr>
          <w:rFonts w:asciiTheme="majorHAnsi" w:hAnsiTheme="majorHAnsi" w:cstheme="majorHAnsi"/>
          <w:lang w:val="it-IT"/>
        </w:rPr>
        <w:tab/>
      </w:r>
      <w:proofErr w:type="spellStart"/>
      <w:r w:rsidRPr="005515EB">
        <w:rPr>
          <w:rFonts w:asciiTheme="majorHAnsi" w:hAnsiTheme="majorHAnsi" w:cstheme="majorHAnsi"/>
          <w:lang w:val="it-IT"/>
        </w:rPr>
        <w:t>Kästrich</w:t>
      </w:r>
      <w:proofErr w:type="spellEnd"/>
      <w:r w:rsidRPr="005515EB">
        <w:rPr>
          <w:rFonts w:asciiTheme="majorHAnsi" w:hAnsiTheme="majorHAnsi" w:cstheme="majorHAnsi"/>
          <w:lang w:val="it-IT"/>
        </w:rPr>
        <w:t xml:space="preserve"> 10</w:t>
      </w:r>
    </w:p>
    <w:p w14:paraId="0BCEBB4F" w14:textId="155206D6" w:rsidR="005C2630" w:rsidRPr="005515EB" w:rsidRDefault="009366DC" w:rsidP="00656C2C">
      <w:pPr>
        <w:ind w:right="425"/>
        <w:rPr>
          <w:rFonts w:asciiTheme="majorHAnsi" w:hAnsiTheme="majorHAnsi" w:cstheme="majorHAnsi"/>
        </w:rPr>
      </w:pPr>
      <w:r w:rsidRPr="005515EB">
        <w:rPr>
          <w:rFonts w:asciiTheme="majorHAnsi" w:hAnsiTheme="majorHAnsi" w:cstheme="majorHAnsi"/>
        </w:rPr>
        <w:t>79098 Freiburg im Breisgau</w:t>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005C2630" w:rsidRPr="005515EB">
        <w:rPr>
          <w:rFonts w:asciiTheme="majorHAnsi" w:hAnsiTheme="majorHAnsi" w:cstheme="majorHAnsi"/>
        </w:rPr>
        <w:t>55116 Mainz</w:t>
      </w:r>
    </w:p>
    <w:p w14:paraId="14F482EB" w14:textId="77777777" w:rsidR="005C2630" w:rsidRPr="005515EB" w:rsidRDefault="005C2630" w:rsidP="005C2630">
      <w:pPr>
        <w:rPr>
          <w:rFonts w:asciiTheme="majorHAnsi" w:hAnsiTheme="majorHAnsi" w:cstheme="majorHAnsi"/>
          <w:lang w:val="en-US"/>
        </w:rPr>
      </w:pPr>
      <w:r w:rsidRPr="005515EB">
        <w:rPr>
          <w:rFonts w:asciiTheme="majorHAnsi" w:hAnsiTheme="majorHAnsi" w:cstheme="majorHAnsi"/>
          <w:lang w:val="en-US"/>
        </w:rPr>
        <w:t>Public Relations</w:t>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proofErr w:type="spellStart"/>
      <w:r w:rsidRPr="005515EB">
        <w:rPr>
          <w:rFonts w:asciiTheme="majorHAnsi" w:hAnsiTheme="majorHAnsi" w:cstheme="majorHAnsi"/>
          <w:lang w:val="en-US"/>
        </w:rPr>
        <w:t>Presseservice</w:t>
      </w:r>
      <w:proofErr w:type="spellEnd"/>
    </w:p>
    <w:p w14:paraId="034F3436" w14:textId="06424214" w:rsidR="005C2630" w:rsidRPr="005515EB" w:rsidRDefault="009366DC" w:rsidP="005C2630">
      <w:pPr>
        <w:pStyle w:val="Listenabsatz"/>
        <w:ind w:left="0"/>
        <w:rPr>
          <w:rFonts w:asciiTheme="majorHAnsi" w:hAnsiTheme="majorHAnsi" w:cstheme="majorHAnsi"/>
          <w:lang w:val="en-US"/>
        </w:rPr>
      </w:pPr>
      <w:r w:rsidRPr="005515EB">
        <w:rPr>
          <w:rFonts w:asciiTheme="majorHAnsi" w:hAnsiTheme="majorHAnsi" w:cstheme="majorHAnsi"/>
          <w:lang w:val="en-US"/>
        </w:rPr>
        <w:t>T: +49 761 15147 – 0</w:t>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005C2630" w:rsidRPr="005515EB">
        <w:rPr>
          <w:rFonts w:asciiTheme="majorHAnsi" w:hAnsiTheme="majorHAnsi" w:cstheme="majorHAnsi"/>
          <w:lang w:val="en-US"/>
        </w:rPr>
        <w:t>T: +49 6131 1433314</w:t>
      </w:r>
    </w:p>
    <w:p w14:paraId="6A79CC68" w14:textId="0D00BE0A" w:rsidR="005C2630" w:rsidRPr="009E029F" w:rsidRDefault="00E60E96" w:rsidP="00C00832">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eastAsia="Times New Roman" w:hAnsiTheme="majorHAnsi" w:cstheme="majorHAnsi"/>
          <w:color w:val="auto"/>
          <w:szCs w:val="24"/>
        </w:rPr>
      </w:pPr>
      <w:r w:rsidRPr="005515EB">
        <w:rPr>
          <w:rFonts w:asciiTheme="majorHAnsi" w:eastAsia="Times New Roman" w:hAnsiTheme="majorHAnsi" w:cstheme="majorHAnsi"/>
          <w:color w:val="auto"/>
          <w:szCs w:val="24"/>
        </w:rPr>
        <w:t xml:space="preserve">E: </w:t>
      </w:r>
      <w:hyperlink r:id="rId14" w:history="1">
        <w:r w:rsidR="00BD41F4" w:rsidRPr="005515EB">
          <w:rPr>
            <w:rFonts w:asciiTheme="majorHAnsi" w:eastAsia="Times New Roman" w:hAnsiTheme="majorHAnsi" w:cstheme="majorHAnsi"/>
            <w:color w:val="auto"/>
            <w:szCs w:val="24"/>
          </w:rPr>
          <w:t>press</w:t>
        </w:r>
        <w:r w:rsidR="005C2630" w:rsidRPr="005515EB">
          <w:rPr>
            <w:rFonts w:asciiTheme="majorHAnsi" w:eastAsia="Times New Roman" w:hAnsiTheme="majorHAnsi" w:cstheme="majorHAnsi"/>
            <w:color w:val="auto"/>
            <w:szCs w:val="24"/>
          </w:rPr>
          <w:t>@jedox.com</w:t>
        </w:r>
      </w:hyperlink>
      <w:r w:rsidR="005C2630" w:rsidRPr="005515EB">
        <w:rPr>
          <w:rFonts w:asciiTheme="majorHAnsi" w:eastAsia="Times New Roman" w:hAnsiTheme="majorHAnsi" w:cstheme="majorHAnsi"/>
          <w:color w:val="auto"/>
          <w:szCs w:val="24"/>
        </w:rPr>
        <w:tab/>
      </w:r>
      <w:r w:rsidR="005C2630" w:rsidRPr="005515EB">
        <w:rPr>
          <w:rFonts w:asciiTheme="majorHAnsi" w:eastAsia="Times New Roman" w:hAnsiTheme="majorHAnsi" w:cstheme="majorHAnsi"/>
          <w:color w:val="auto"/>
          <w:szCs w:val="24"/>
        </w:rPr>
        <w:tab/>
      </w:r>
      <w:r w:rsidR="005C2630" w:rsidRPr="005515EB">
        <w:rPr>
          <w:rFonts w:asciiTheme="majorHAnsi" w:eastAsia="Times New Roman" w:hAnsiTheme="majorHAnsi" w:cstheme="majorHAnsi"/>
          <w:color w:val="auto"/>
          <w:szCs w:val="24"/>
        </w:rPr>
        <w:tab/>
      </w:r>
      <w:r w:rsidR="005C2630" w:rsidRPr="005515EB">
        <w:rPr>
          <w:rFonts w:asciiTheme="majorHAnsi" w:eastAsia="Times New Roman" w:hAnsiTheme="majorHAnsi" w:cstheme="majorHAnsi"/>
          <w:color w:val="auto"/>
          <w:szCs w:val="24"/>
        </w:rPr>
        <w:tab/>
      </w:r>
      <w:r w:rsidR="005C2630" w:rsidRPr="009E029F">
        <w:rPr>
          <w:rFonts w:asciiTheme="majorHAnsi" w:eastAsia="Times New Roman" w:hAnsiTheme="majorHAnsi" w:cstheme="majorHAnsi"/>
          <w:color w:val="auto"/>
          <w:szCs w:val="24"/>
        </w:rPr>
        <w:tab/>
        <w:t xml:space="preserve">E: </w:t>
      </w:r>
      <w:hyperlink r:id="rId15" w:history="1">
        <w:r w:rsidR="005C2630" w:rsidRPr="009E029F">
          <w:rPr>
            <w:rFonts w:asciiTheme="majorHAnsi" w:eastAsia="Times New Roman" w:hAnsiTheme="majorHAnsi" w:cstheme="majorHAnsi"/>
            <w:szCs w:val="24"/>
          </w:rPr>
          <w:t>presse@u3marketing.com</w:t>
        </w:r>
      </w:hyperlink>
      <w:r w:rsidR="005C2630" w:rsidRPr="009E029F">
        <w:rPr>
          <w:rFonts w:asciiTheme="majorHAnsi" w:eastAsia="Times New Roman" w:hAnsiTheme="majorHAnsi" w:cstheme="majorHAnsi"/>
          <w:color w:val="auto"/>
          <w:szCs w:val="24"/>
        </w:rPr>
        <w:t xml:space="preserve"> </w:t>
      </w:r>
    </w:p>
    <w:sectPr w:rsidR="005C2630" w:rsidRPr="009E029F" w:rsidSect="00652CC4">
      <w:headerReference w:type="default" r:id="rId16"/>
      <w:footerReference w:type="default" r:id="rId17"/>
      <w:headerReference w:type="first" r:id="rId18"/>
      <w:footerReference w:type="first" r:id="rId19"/>
      <w:pgSz w:w="11906" w:h="16838" w:code="9"/>
      <w:pgMar w:top="1985" w:right="1559" w:bottom="99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B6AB" w14:textId="77777777" w:rsidR="002D70F6" w:rsidRDefault="002D70F6">
      <w:r>
        <w:separator/>
      </w:r>
    </w:p>
  </w:endnote>
  <w:endnote w:type="continuationSeparator" w:id="0">
    <w:p w14:paraId="127F5C68" w14:textId="77777777" w:rsidR="002D70F6" w:rsidRDefault="002D70F6">
      <w:r>
        <w:continuationSeparator/>
      </w:r>
    </w:p>
  </w:endnote>
  <w:endnote w:type="continuationNotice" w:id="1">
    <w:p w14:paraId="5982E69C" w14:textId="77777777" w:rsidR="002D70F6" w:rsidRDefault="002D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872909866"/>
      <w:docPartObj>
        <w:docPartGallery w:val="Page Numbers (Bottom of Page)"/>
        <w:docPartUnique/>
      </w:docPartObj>
    </w:sdtPr>
    <w:sdtEndPr>
      <w:rPr>
        <w:rFonts w:asciiTheme="majorHAnsi" w:hAnsiTheme="majorHAnsi"/>
      </w:rPr>
    </w:sdtEndPr>
    <w:sdtContent>
      <w:p w14:paraId="08A2DD4D" w14:textId="411E13EA" w:rsidR="00336A53" w:rsidRPr="000616D4" w:rsidRDefault="002D70F6"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796224219"/>
            <w:docPartObj>
              <w:docPartGallery w:val="Page Numbers (Bottom of Page)"/>
              <w:docPartUnique/>
            </w:docPartObj>
          </w:sdtPr>
          <w:sdtEndPr>
            <w:rPr>
              <w:rFonts w:asciiTheme="majorHAnsi" w:hAnsiTheme="majorHAnsi"/>
            </w:rPr>
          </w:sdtEndPr>
          <w:sdtContent>
            <w:r w:rsidR="00336A53">
              <w:rPr>
                <w:rFonts w:asciiTheme="majorHAnsi" w:hAnsiTheme="majorHAnsi" w:cs="Arial"/>
                <w:sz w:val="16"/>
                <w:szCs w:val="16"/>
                <w:lang w:val="en-US"/>
              </w:rPr>
              <w:t xml:space="preserve">www.jedox.com | </w:t>
            </w:r>
            <w:r w:rsidR="00C82BE4">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5D31DA42" wp14:editId="5C8EF5E2">
                      <wp:simplePos x="0" y="0"/>
                      <wp:positionH relativeFrom="column">
                        <wp:posOffset>-914400</wp:posOffset>
                      </wp:positionH>
                      <wp:positionV relativeFrom="paragraph">
                        <wp:posOffset>-4246246</wp:posOffset>
                      </wp:positionV>
                      <wp:extent cx="332740" cy="0"/>
                      <wp:effectExtent l="0" t="0" r="10160" b="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155DA"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J2Tw7j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336A53">
              <w:rPr>
                <w:rFonts w:asciiTheme="majorHAnsi" w:hAnsiTheme="majorHAnsi" w:cs="Arial"/>
                <w:sz w:val="16"/>
                <w:szCs w:val="16"/>
                <w:lang w:val="en-US"/>
              </w:rPr>
              <w:t>Simplify Planning, Reporting &amp; Analytics</w:t>
            </w:r>
          </w:sdtContent>
        </w:sdt>
        <w:r w:rsidR="00C82BE4">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737BCC1F" wp14:editId="6F52A61D">
                  <wp:simplePos x="0" y="0"/>
                  <wp:positionH relativeFrom="column">
                    <wp:posOffset>-914400</wp:posOffset>
                  </wp:positionH>
                  <wp:positionV relativeFrom="paragraph">
                    <wp:posOffset>-4246246</wp:posOffset>
                  </wp:positionV>
                  <wp:extent cx="332740" cy="0"/>
                  <wp:effectExtent l="0" t="0" r="10160" b="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2B0E9"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336A53" w:rsidRPr="000616D4">
          <w:rPr>
            <w:rFonts w:asciiTheme="majorHAnsi" w:hAnsiTheme="majorHAnsi" w:cs="Arial"/>
            <w:sz w:val="16"/>
            <w:szCs w:val="16"/>
            <w:lang w:val="en-US"/>
          </w:rPr>
          <w:tab/>
          <w:t>Seite</w:t>
        </w:r>
        <w:r w:rsidR="00993219" w:rsidRPr="000616D4">
          <w:rPr>
            <w:rFonts w:asciiTheme="majorHAnsi" w:hAnsiTheme="majorHAnsi" w:cs="Arial"/>
            <w:sz w:val="16"/>
            <w:szCs w:val="16"/>
            <w:lang w:val="en-US"/>
          </w:rPr>
          <w:fldChar w:fldCharType="begin"/>
        </w:r>
        <w:r w:rsidR="00336A53" w:rsidRPr="000616D4">
          <w:rPr>
            <w:rFonts w:asciiTheme="majorHAnsi" w:hAnsiTheme="majorHAnsi" w:cs="Arial"/>
            <w:sz w:val="16"/>
            <w:szCs w:val="16"/>
            <w:lang w:val="en-US"/>
          </w:rPr>
          <w:instrText>PAGE   \* MERGEFORMAT</w:instrText>
        </w:r>
        <w:r w:rsidR="00993219" w:rsidRPr="000616D4">
          <w:rPr>
            <w:rFonts w:asciiTheme="majorHAnsi" w:hAnsiTheme="majorHAnsi" w:cs="Arial"/>
            <w:sz w:val="16"/>
            <w:szCs w:val="16"/>
            <w:lang w:val="en-US"/>
          </w:rPr>
          <w:fldChar w:fldCharType="separate"/>
        </w:r>
        <w:r w:rsidR="00981CE8">
          <w:rPr>
            <w:rFonts w:asciiTheme="majorHAnsi" w:hAnsiTheme="majorHAnsi" w:cs="Arial"/>
            <w:noProof/>
            <w:sz w:val="16"/>
            <w:szCs w:val="16"/>
            <w:lang w:val="en-US"/>
          </w:rPr>
          <w:t>3</w:t>
        </w:r>
        <w:r w:rsidR="00993219"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213626313"/>
      <w:docPartObj>
        <w:docPartGallery w:val="Page Numbers (Bottom of Page)"/>
        <w:docPartUnique/>
      </w:docPartObj>
    </w:sdtPr>
    <w:sdtEndPr>
      <w:rPr>
        <w:rFonts w:asciiTheme="majorHAnsi" w:hAnsiTheme="majorHAnsi"/>
      </w:rPr>
    </w:sdtEndPr>
    <w:sdtContent>
      <w:p w14:paraId="11057C0B" w14:textId="77777777" w:rsidR="00336A53" w:rsidRPr="000616D4" w:rsidRDefault="00336A53"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C82BE4">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5BC65491" wp14:editId="62A71A76">
                  <wp:simplePos x="0" y="0"/>
                  <wp:positionH relativeFrom="column">
                    <wp:posOffset>-914400</wp:posOffset>
                  </wp:positionH>
                  <wp:positionV relativeFrom="paragraph">
                    <wp:posOffset>-4246246</wp:posOffset>
                  </wp:positionV>
                  <wp:extent cx="332740" cy="0"/>
                  <wp:effectExtent l="0" t="0" r="10160" b="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464CB"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2AF1" w14:textId="77777777" w:rsidR="002D70F6" w:rsidRDefault="002D70F6">
      <w:r>
        <w:rPr>
          <w:rFonts w:ascii="Arial" w:hAnsi="Arial" w:cs="Arial"/>
          <w:noProof/>
          <w:sz w:val="18"/>
          <w:szCs w:val="18"/>
        </w:rPr>
        <w:drawing>
          <wp:anchor distT="0" distB="0" distL="114300" distR="114300" simplePos="1" relativeHeight="251670528" behindDoc="0" locked="0" layoutInCell="1" allowOverlap="1" wp14:anchorId="62D14A06" wp14:editId="1211A64B">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4A25441E" wp14:editId="12B30792">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79362941" wp14:editId="2DD98BD0">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0DD5854E" wp14:editId="5367B389">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4C5F836F" wp14:editId="07420C0D">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0BD4F038" wp14:editId="03104F3E">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23BCA829" wp14:editId="178BEDF0">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6E33CDC7" wp14:editId="546A30F8">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08E586AB" wp14:editId="686C092A">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13A86F32" wp14:editId="3FBE89F6">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0BBF7012" wp14:editId="4A3B23E0">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59DC3133" wp14:editId="6F584FC9">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29F9BF31" wp14:editId="6D28874D">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46DB8045" wp14:editId="6DD4B519">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14347EB7" wp14:editId="3CEDE50F">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0D793B3B" wp14:editId="7EE2048C">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3FD55EF4" wp14:editId="77A88649">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1734A1F2" wp14:editId="59358B77">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76344A2A" wp14:editId="4F0E29B7">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6D632014" wp14:editId="0ED28DDD">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10D425CA" w14:textId="77777777" w:rsidR="002D70F6" w:rsidRDefault="002D70F6">
      <w:r>
        <w:continuationSeparator/>
      </w:r>
    </w:p>
  </w:footnote>
  <w:footnote w:type="continuationNotice" w:id="1">
    <w:p w14:paraId="4DCC13F4" w14:textId="77777777" w:rsidR="002D70F6" w:rsidRDefault="002D70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D707" w14:textId="77777777" w:rsidR="00336A53" w:rsidRPr="006D07A1" w:rsidRDefault="00336A53">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042A5453" wp14:editId="66F196C4">
          <wp:simplePos x="0" y="0"/>
          <wp:positionH relativeFrom="column">
            <wp:posOffset>4743450</wp:posOffset>
          </wp:positionH>
          <wp:positionV relativeFrom="paragraph">
            <wp:posOffset>-400685</wp:posOffset>
          </wp:positionV>
          <wp:extent cx="1908175" cy="135001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B638" w14:textId="77777777" w:rsidR="00336A53" w:rsidRPr="006F2B16" w:rsidRDefault="00336A53"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50BB9341" wp14:editId="470D1408">
          <wp:simplePos x="0" y="0"/>
          <wp:positionH relativeFrom="column">
            <wp:posOffset>4622165</wp:posOffset>
          </wp:positionH>
          <wp:positionV relativeFrom="paragraph">
            <wp:posOffset>-385445</wp:posOffset>
          </wp:positionV>
          <wp:extent cx="1908175" cy="135001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7CEE64DF" w14:textId="77777777" w:rsidR="00336A53" w:rsidRPr="00FC77E3" w:rsidRDefault="00336A53"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5704D"/>
    <w:multiLevelType w:val="multilevel"/>
    <w:tmpl w:val="1E027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272F19"/>
    <w:multiLevelType w:val="hybridMultilevel"/>
    <w:tmpl w:val="16066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905C9D"/>
    <w:multiLevelType w:val="multilevel"/>
    <w:tmpl w:val="8F121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6"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B0819"/>
    <w:multiLevelType w:val="multilevel"/>
    <w:tmpl w:val="BDA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15:restartNumberingAfterBreak="0">
    <w:nsid w:val="4C9F2E74"/>
    <w:multiLevelType w:val="hybridMultilevel"/>
    <w:tmpl w:val="AF5042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7E7163"/>
    <w:multiLevelType w:val="hybridMultilevel"/>
    <w:tmpl w:val="ECB8CF16"/>
    <w:lvl w:ilvl="0" w:tplc="D26AE47C">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4"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C1456A"/>
    <w:multiLevelType w:val="multilevel"/>
    <w:tmpl w:val="6A40A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FF002D"/>
    <w:multiLevelType w:val="multilevel"/>
    <w:tmpl w:val="B5F04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21F17"/>
    <w:multiLevelType w:val="hybridMultilevel"/>
    <w:tmpl w:val="763C6592"/>
    <w:lvl w:ilvl="0" w:tplc="FBB872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0"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3"/>
  </w:num>
  <w:num w:numId="4">
    <w:abstractNumId w:val="33"/>
  </w:num>
  <w:num w:numId="5">
    <w:abstractNumId w:val="18"/>
  </w:num>
  <w:num w:numId="6">
    <w:abstractNumId w:val="10"/>
  </w:num>
  <w:num w:numId="7">
    <w:abstractNumId w:val="15"/>
  </w:num>
  <w:num w:numId="8">
    <w:abstractNumId w:val="23"/>
  </w:num>
  <w:num w:numId="9">
    <w:abstractNumId w:val="29"/>
  </w:num>
  <w:num w:numId="10">
    <w:abstractNumId w:val="24"/>
  </w:num>
  <w:num w:numId="11">
    <w:abstractNumId w:val="2"/>
  </w:num>
  <w:num w:numId="12">
    <w:abstractNumId w:val="32"/>
  </w:num>
  <w:num w:numId="13">
    <w:abstractNumId w:val="31"/>
  </w:num>
  <w:num w:numId="14">
    <w:abstractNumId w:val="16"/>
  </w:num>
  <w:num w:numId="15">
    <w:abstractNumId w:val="7"/>
  </w:num>
  <w:num w:numId="16">
    <w:abstractNumId w:val="12"/>
  </w:num>
  <w:num w:numId="17">
    <w:abstractNumId w:val="9"/>
  </w:num>
  <w:num w:numId="18">
    <w:abstractNumId w:val="30"/>
  </w:num>
  <w:num w:numId="19">
    <w:abstractNumId w:val="35"/>
  </w:num>
  <w:num w:numId="20">
    <w:abstractNumId w:val="6"/>
  </w:num>
  <w:num w:numId="21">
    <w:abstractNumId w:val="8"/>
  </w:num>
  <w:num w:numId="22">
    <w:abstractNumId w:val="28"/>
  </w:num>
  <w:num w:numId="23">
    <w:abstractNumId w:val="11"/>
  </w:num>
  <w:num w:numId="24">
    <w:abstractNumId w:val="3"/>
  </w:num>
  <w:num w:numId="25">
    <w:abstractNumId w:val="0"/>
  </w:num>
  <w:num w:numId="26">
    <w:abstractNumId w:val="21"/>
  </w:num>
  <w:num w:numId="27">
    <w:abstractNumId w:val="1"/>
  </w:num>
  <w:num w:numId="28">
    <w:abstractNumId w:val="22"/>
  </w:num>
  <w:num w:numId="29">
    <w:abstractNumId w:val="4"/>
  </w:num>
  <w:num w:numId="30">
    <w:abstractNumId w:val="14"/>
  </w:num>
  <w:num w:numId="31">
    <w:abstractNumId w:val="26"/>
  </w:num>
  <w:num w:numId="32">
    <w:abstractNumId w:val="25"/>
  </w:num>
  <w:num w:numId="33">
    <w:abstractNumId w:val="27"/>
  </w:num>
  <w:num w:numId="34">
    <w:abstractNumId w:val="5"/>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03EB"/>
    <w:rsid w:val="000020FF"/>
    <w:rsid w:val="000036B5"/>
    <w:rsid w:val="000039FF"/>
    <w:rsid w:val="000045BD"/>
    <w:rsid w:val="000103CF"/>
    <w:rsid w:val="0001310B"/>
    <w:rsid w:val="00014657"/>
    <w:rsid w:val="0001613E"/>
    <w:rsid w:val="00020F53"/>
    <w:rsid w:val="00023A6A"/>
    <w:rsid w:val="00024B1A"/>
    <w:rsid w:val="00031489"/>
    <w:rsid w:val="00033A53"/>
    <w:rsid w:val="00036305"/>
    <w:rsid w:val="00043196"/>
    <w:rsid w:val="00045395"/>
    <w:rsid w:val="00045470"/>
    <w:rsid w:val="00051020"/>
    <w:rsid w:val="00053DA0"/>
    <w:rsid w:val="00060786"/>
    <w:rsid w:val="000616D4"/>
    <w:rsid w:val="000741B3"/>
    <w:rsid w:val="00077D40"/>
    <w:rsid w:val="000818DA"/>
    <w:rsid w:val="00082A39"/>
    <w:rsid w:val="000850F4"/>
    <w:rsid w:val="000919D0"/>
    <w:rsid w:val="0009444F"/>
    <w:rsid w:val="000955B3"/>
    <w:rsid w:val="000A0874"/>
    <w:rsid w:val="000B2AFE"/>
    <w:rsid w:val="000B5FC1"/>
    <w:rsid w:val="000C086E"/>
    <w:rsid w:val="000E13A4"/>
    <w:rsid w:val="000E53C6"/>
    <w:rsid w:val="000E7103"/>
    <w:rsid w:val="000F4E73"/>
    <w:rsid w:val="000F69A4"/>
    <w:rsid w:val="000F6ABB"/>
    <w:rsid w:val="000F72A0"/>
    <w:rsid w:val="001013CC"/>
    <w:rsid w:val="00107CB5"/>
    <w:rsid w:val="001111AA"/>
    <w:rsid w:val="001151B9"/>
    <w:rsid w:val="001229A3"/>
    <w:rsid w:val="0012371F"/>
    <w:rsid w:val="0012377D"/>
    <w:rsid w:val="00124475"/>
    <w:rsid w:val="00124A0E"/>
    <w:rsid w:val="00133B68"/>
    <w:rsid w:val="00135169"/>
    <w:rsid w:val="00142924"/>
    <w:rsid w:val="00145AE2"/>
    <w:rsid w:val="0014786A"/>
    <w:rsid w:val="00155EED"/>
    <w:rsid w:val="00157AB2"/>
    <w:rsid w:val="001655A7"/>
    <w:rsid w:val="00175836"/>
    <w:rsid w:val="0017667C"/>
    <w:rsid w:val="00180323"/>
    <w:rsid w:val="00183DE6"/>
    <w:rsid w:val="00184B25"/>
    <w:rsid w:val="0019184B"/>
    <w:rsid w:val="00197C92"/>
    <w:rsid w:val="001A2F05"/>
    <w:rsid w:val="001B2F42"/>
    <w:rsid w:val="001B4D04"/>
    <w:rsid w:val="001B7749"/>
    <w:rsid w:val="001C2284"/>
    <w:rsid w:val="001D4C9A"/>
    <w:rsid w:val="001E0841"/>
    <w:rsid w:val="001E2C5A"/>
    <w:rsid w:val="001E4848"/>
    <w:rsid w:val="001F206A"/>
    <w:rsid w:val="001F7F18"/>
    <w:rsid w:val="00210E92"/>
    <w:rsid w:val="00210F3E"/>
    <w:rsid w:val="00214AEC"/>
    <w:rsid w:val="00216B20"/>
    <w:rsid w:val="00224F40"/>
    <w:rsid w:val="00232F62"/>
    <w:rsid w:val="002370AB"/>
    <w:rsid w:val="002375EB"/>
    <w:rsid w:val="00242312"/>
    <w:rsid w:val="00247F33"/>
    <w:rsid w:val="002510CC"/>
    <w:rsid w:val="002514E9"/>
    <w:rsid w:val="00252F43"/>
    <w:rsid w:val="00256AAE"/>
    <w:rsid w:val="00260B74"/>
    <w:rsid w:val="00270C66"/>
    <w:rsid w:val="00272801"/>
    <w:rsid w:val="00273D7D"/>
    <w:rsid w:val="00274289"/>
    <w:rsid w:val="00276108"/>
    <w:rsid w:val="00280EAA"/>
    <w:rsid w:val="00281178"/>
    <w:rsid w:val="002823C9"/>
    <w:rsid w:val="0028651E"/>
    <w:rsid w:val="00286857"/>
    <w:rsid w:val="002941BF"/>
    <w:rsid w:val="002A344D"/>
    <w:rsid w:val="002A5D09"/>
    <w:rsid w:val="002A6A07"/>
    <w:rsid w:val="002A726C"/>
    <w:rsid w:val="002B717C"/>
    <w:rsid w:val="002C0701"/>
    <w:rsid w:val="002C6B08"/>
    <w:rsid w:val="002D70F6"/>
    <w:rsid w:val="002E2490"/>
    <w:rsid w:val="002E30E4"/>
    <w:rsid w:val="002F074E"/>
    <w:rsid w:val="002F6B4D"/>
    <w:rsid w:val="002F7035"/>
    <w:rsid w:val="003008AE"/>
    <w:rsid w:val="00303406"/>
    <w:rsid w:val="00303B19"/>
    <w:rsid w:val="00306616"/>
    <w:rsid w:val="00307631"/>
    <w:rsid w:val="00313CD3"/>
    <w:rsid w:val="00315D1B"/>
    <w:rsid w:val="003228D5"/>
    <w:rsid w:val="00326CA2"/>
    <w:rsid w:val="00333F98"/>
    <w:rsid w:val="00334DFF"/>
    <w:rsid w:val="00336A53"/>
    <w:rsid w:val="00337622"/>
    <w:rsid w:val="00343F2E"/>
    <w:rsid w:val="00343F93"/>
    <w:rsid w:val="0034580F"/>
    <w:rsid w:val="00353787"/>
    <w:rsid w:val="00360107"/>
    <w:rsid w:val="003610F5"/>
    <w:rsid w:val="00367196"/>
    <w:rsid w:val="00367F8C"/>
    <w:rsid w:val="00377FB9"/>
    <w:rsid w:val="00380E31"/>
    <w:rsid w:val="00382F14"/>
    <w:rsid w:val="003873E4"/>
    <w:rsid w:val="00390C3A"/>
    <w:rsid w:val="00392E96"/>
    <w:rsid w:val="0039524A"/>
    <w:rsid w:val="003955DF"/>
    <w:rsid w:val="00396B8D"/>
    <w:rsid w:val="003A3DD3"/>
    <w:rsid w:val="003A4476"/>
    <w:rsid w:val="003B0481"/>
    <w:rsid w:val="003B0B8E"/>
    <w:rsid w:val="003B3E2F"/>
    <w:rsid w:val="003C12F0"/>
    <w:rsid w:val="003C3172"/>
    <w:rsid w:val="003D1439"/>
    <w:rsid w:val="003D1C52"/>
    <w:rsid w:val="003D71CF"/>
    <w:rsid w:val="003D7A9C"/>
    <w:rsid w:val="003E32D5"/>
    <w:rsid w:val="003E7A3E"/>
    <w:rsid w:val="003F1CA0"/>
    <w:rsid w:val="003F589E"/>
    <w:rsid w:val="00402D15"/>
    <w:rsid w:val="00407DE8"/>
    <w:rsid w:val="004115DB"/>
    <w:rsid w:val="004146A5"/>
    <w:rsid w:val="004206F1"/>
    <w:rsid w:val="004211DE"/>
    <w:rsid w:val="00422B9A"/>
    <w:rsid w:val="00422E1C"/>
    <w:rsid w:val="004262B8"/>
    <w:rsid w:val="00432DB9"/>
    <w:rsid w:val="00441EF2"/>
    <w:rsid w:val="004438DA"/>
    <w:rsid w:val="00446E17"/>
    <w:rsid w:val="00451444"/>
    <w:rsid w:val="00453A1B"/>
    <w:rsid w:val="00453BAE"/>
    <w:rsid w:val="00453FB0"/>
    <w:rsid w:val="004568D3"/>
    <w:rsid w:val="00467F26"/>
    <w:rsid w:val="0047566A"/>
    <w:rsid w:val="00483893"/>
    <w:rsid w:val="00484C39"/>
    <w:rsid w:val="004873F8"/>
    <w:rsid w:val="00490577"/>
    <w:rsid w:val="00493808"/>
    <w:rsid w:val="00495BF0"/>
    <w:rsid w:val="004A6FD5"/>
    <w:rsid w:val="004B1AFA"/>
    <w:rsid w:val="004B7932"/>
    <w:rsid w:val="004B795A"/>
    <w:rsid w:val="004D17D3"/>
    <w:rsid w:val="004D23CB"/>
    <w:rsid w:val="004D2730"/>
    <w:rsid w:val="004E04C6"/>
    <w:rsid w:val="004E3605"/>
    <w:rsid w:val="004E533E"/>
    <w:rsid w:val="004F2B6F"/>
    <w:rsid w:val="004F7518"/>
    <w:rsid w:val="004F789F"/>
    <w:rsid w:val="00501747"/>
    <w:rsid w:val="0050458A"/>
    <w:rsid w:val="00516191"/>
    <w:rsid w:val="005167E0"/>
    <w:rsid w:val="00522AA3"/>
    <w:rsid w:val="00522FF9"/>
    <w:rsid w:val="00526330"/>
    <w:rsid w:val="00530F8E"/>
    <w:rsid w:val="005340BB"/>
    <w:rsid w:val="00542AA5"/>
    <w:rsid w:val="005478DE"/>
    <w:rsid w:val="005515EB"/>
    <w:rsid w:val="00551C7F"/>
    <w:rsid w:val="00554921"/>
    <w:rsid w:val="00557C18"/>
    <w:rsid w:val="005601CC"/>
    <w:rsid w:val="00571ADB"/>
    <w:rsid w:val="00576624"/>
    <w:rsid w:val="00576BC6"/>
    <w:rsid w:val="00581056"/>
    <w:rsid w:val="005901C6"/>
    <w:rsid w:val="00592838"/>
    <w:rsid w:val="005951C4"/>
    <w:rsid w:val="00597959"/>
    <w:rsid w:val="005A0F67"/>
    <w:rsid w:val="005A4FDE"/>
    <w:rsid w:val="005A5F3B"/>
    <w:rsid w:val="005A7C5E"/>
    <w:rsid w:val="005B37C9"/>
    <w:rsid w:val="005B447F"/>
    <w:rsid w:val="005B6212"/>
    <w:rsid w:val="005C2630"/>
    <w:rsid w:val="005C336F"/>
    <w:rsid w:val="005C7EF5"/>
    <w:rsid w:val="005D1951"/>
    <w:rsid w:val="005D7797"/>
    <w:rsid w:val="005E2A5D"/>
    <w:rsid w:val="005E3B0A"/>
    <w:rsid w:val="005E3C1F"/>
    <w:rsid w:val="005E3C7C"/>
    <w:rsid w:val="005E5191"/>
    <w:rsid w:val="005E78EF"/>
    <w:rsid w:val="005F127E"/>
    <w:rsid w:val="005F6549"/>
    <w:rsid w:val="005F6991"/>
    <w:rsid w:val="005F7CDF"/>
    <w:rsid w:val="00601822"/>
    <w:rsid w:val="00617715"/>
    <w:rsid w:val="00622D15"/>
    <w:rsid w:val="006234C0"/>
    <w:rsid w:val="006260A3"/>
    <w:rsid w:val="00626269"/>
    <w:rsid w:val="006349E5"/>
    <w:rsid w:val="0063543E"/>
    <w:rsid w:val="006427DF"/>
    <w:rsid w:val="00642A82"/>
    <w:rsid w:val="006475A3"/>
    <w:rsid w:val="00651988"/>
    <w:rsid w:val="00652CC4"/>
    <w:rsid w:val="006547B6"/>
    <w:rsid w:val="006555E2"/>
    <w:rsid w:val="00656C2C"/>
    <w:rsid w:val="00662B7C"/>
    <w:rsid w:val="0067178E"/>
    <w:rsid w:val="00672876"/>
    <w:rsid w:val="00672D3C"/>
    <w:rsid w:val="006755E8"/>
    <w:rsid w:val="00675647"/>
    <w:rsid w:val="00676B20"/>
    <w:rsid w:val="00680889"/>
    <w:rsid w:val="006852F0"/>
    <w:rsid w:val="0068638F"/>
    <w:rsid w:val="00690AF3"/>
    <w:rsid w:val="0069210C"/>
    <w:rsid w:val="0069409A"/>
    <w:rsid w:val="0069537F"/>
    <w:rsid w:val="006B0D36"/>
    <w:rsid w:val="006D07A1"/>
    <w:rsid w:val="006D776F"/>
    <w:rsid w:val="006E3920"/>
    <w:rsid w:val="006E504E"/>
    <w:rsid w:val="006F15C1"/>
    <w:rsid w:val="006F2B16"/>
    <w:rsid w:val="0070738A"/>
    <w:rsid w:val="0070776D"/>
    <w:rsid w:val="00711A19"/>
    <w:rsid w:val="00720728"/>
    <w:rsid w:val="0074004E"/>
    <w:rsid w:val="00742348"/>
    <w:rsid w:val="00752515"/>
    <w:rsid w:val="00760F03"/>
    <w:rsid w:val="0076563A"/>
    <w:rsid w:val="00767DA5"/>
    <w:rsid w:val="0077000C"/>
    <w:rsid w:val="00771EC2"/>
    <w:rsid w:val="00777652"/>
    <w:rsid w:val="00780669"/>
    <w:rsid w:val="00781DF9"/>
    <w:rsid w:val="00787BEE"/>
    <w:rsid w:val="007926E1"/>
    <w:rsid w:val="007979A1"/>
    <w:rsid w:val="00797D9A"/>
    <w:rsid w:val="007A31A8"/>
    <w:rsid w:val="007A431D"/>
    <w:rsid w:val="007B1EA6"/>
    <w:rsid w:val="007B3E12"/>
    <w:rsid w:val="007C3399"/>
    <w:rsid w:val="007C3F68"/>
    <w:rsid w:val="007C650B"/>
    <w:rsid w:val="007C6991"/>
    <w:rsid w:val="007C7ECA"/>
    <w:rsid w:val="007D3C0D"/>
    <w:rsid w:val="007E6287"/>
    <w:rsid w:val="0081144F"/>
    <w:rsid w:val="008128AA"/>
    <w:rsid w:val="00814EA8"/>
    <w:rsid w:val="00817AA6"/>
    <w:rsid w:val="00823865"/>
    <w:rsid w:val="008251B6"/>
    <w:rsid w:val="008502B9"/>
    <w:rsid w:val="00851F89"/>
    <w:rsid w:val="008572AE"/>
    <w:rsid w:val="00861B96"/>
    <w:rsid w:val="0086258C"/>
    <w:rsid w:val="00862AC8"/>
    <w:rsid w:val="00870DC3"/>
    <w:rsid w:val="008721BB"/>
    <w:rsid w:val="008741A6"/>
    <w:rsid w:val="00883617"/>
    <w:rsid w:val="008862BB"/>
    <w:rsid w:val="00890A78"/>
    <w:rsid w:val="008A0E3E"/>
    <w:rsid w:val="008A3D41"/>
    <w:rsid w:val="008A407E"/>
    <w:rsid w:val="008A786B"/>
    <w:rsid w:val="008B474F"/>
    <w:rsid w:val="008B6E7E"/>
    <w:rsid w:val="008C1879"/>
    <w:rsid w:val="008C2F21"/>
    <w:rsid w:val="008C30ED"/>
    <w:rsid w:val="008C3F62"/>
    <w:rsid w:val="008C6F65"/>
    <w:rsid w:val="008D0C92"/>
    <w:rsid w:val="008D6711"/>
    <w:rsid w:val="008E0220"/>
    <w:rsid w:val="008E4A68"/>
    <w:rsid w:val="008E62B1"/>
    <w:rsid w:val="008E7CC2"/>
    <w:rsid w:val="008F34DB"/>
    <w:rsid w:val="008F7DD7"/>
    <w:rsid w:val="009105B0"/>
    <w:rsid w:val="00911F67"/>
    <w:rsid w:val="009255E6"/>
    <w:rsid w:val="0093167A"/>
    <w:rsid w:val="009366DC"/>
    <w:rsid w:val="00936E16"/>
    <w:rsid w:val="00942559"/>
    <w:rsid w:val="009477FF"/>
    <w:rsid w:val="009525E1"/>
    <w:rsid w:val="0095374C"/>
    <w:rsid w:val="009563AF"/>
    <w:rsid w:val="00960098"/>
    <w:rsid w:val="00971E0F"/>
    <w:rsid w:val="00976861"/>
    <w:rsid w:val="00980D55"/>
    <w:rsid w:val="00981204"/>
    <w:rsid w:val="00981CE8"/>
    <w:rsid w:val="009822E1"/>
    <w:rsid w:val="00982441"/>
    <w:rsid w:val="00982DA2"/>
    <w:rsid w:val="00987260"/>
    <w:rsid w:val="0099089D"/>
    <w:rsid w:val="00993219"/>
    <w:rsid w:val="00994A21"/>
    <w:rsid w:val="009A195C"/>
    <w:rsid w:val="009A2619"/>
    <w:rsid w:val="009A5277"/>
    <w:rsid w:val="009B3DBF"/>
    <w:rsid w:val="009B45EB"/>
    <w:rsid w:val="009B6ECD"/>
    <w:rsid w:val="009C11E6"/>
    <w:rsid w:val="009C323A"/>
    <w:rsid w:val="009D3DF5"/>
    <w:rsid w:val="009D4395"/>
    <w:rsid w:val="009D4C16"/>
    <w:rsid w:val="009D51D2"/>
    <w:rsid w:val="009D7540"/>
    <w:rsid w:val="009E029F"/>
    <w:rsid w:val="009E1338"/>
    <w:rsid w:val="009E6868"/>
    <w:rsid w:val="009F36AA"/>
    <w:rsid w:val="00A071A1"/>
    <w:rsid w:val="00A15078"/>
    <w:rsid w:val="00A173B5"/>
    <w:rsid w:val="00A20798"/>
    <w:rsid w:val="00A22B45"/>
    <w:rsid w:val="00A248F6"/>
    <w:rsid w:val="00A26B06"/>
    <w:rsid w:val="00A31087"/>
    <w:rsid w:val="00A32E89"/>
    <w:rsid w:val="00A3387D"/>
    <w:rsid w:val="00A34699"/>
    <w:rsid w:val="00A353AA"/>
    <w:rsid w:val="00A54F74"/>
    <w:rsid w:val="00A65180"/>
    <w:rsid w:val="00A74C30"/>
    <w:rsid w:val="00A81B03"/>
    <w:rsid w:val="00A846D2"/>
    <w:rsid w:val="00A940B7"/>
    <w:rsid w:val="00A94A94"/>
    <w:rsid w:val="00A958BE"/>
    <w:rsid w:val="00A96402"/>
    <w:rsid w:val="00AA131E"/>
    <w:rsid w:val="00AB0654"/>
    <w:rsid w:val="00AB5A40"/>
    <w:rsid w:val="00AC0883"/>
    <w:rsid w:val="00AC2B00"/>
    <w:rsid w:val="00AD0E90"/>
    <w:rsid w:val="00AD2EBF"/>
    <w:rsid w:val="00AE05AE"/>
    <w:rsid w:val="00AE12A6"/>
    <w:rsid w:val="00AE22EA"/>
    <w:rsid w:val="00AE2EBC"/>
    <w:rsid w:val="00AF58AE"/>
    <w:rsid w:val="00AF5E59"/>
    <w:rsid w:val="00AF63FF"/>
    <w:rsid w:val="00B11CC7"/>
    <w:rsid w:val="00B22AC6"/>
    <w:rsid w:val="00B22B05"/>
    <w:rsid w:val="00B25066"/>
    <w:rsid w:val="00B27127"/>
    <w:rsid w:val="00B30794"/>
    <w:rsid w:val="00B33D19"/>
    <w:rsid w:val="00B351C9"/>
    <w:rsid w:val="00B45627"/>
    <w:rsid w:val="00B5093F"/>
    <w:rsid w:val="00B5145E"/>
    <w:rsid w:val="00B5209B"/>
    <w:rsid w:val="00B562C3"/>
    <w:rsid w:val="00B57BB5"/>
    <w:rsid w:val="00B61BAC"/>
    <w:rsid w:val="00B63EF2"/>
    <w:rsid w:val="00B6520F"/>
    <w:rsid w:val="00B663CA"/>
    <w:rsid w:val="00B71C00"/>
    <w:rsid w:val="00B74DCF"/>
    <w:rsid w:val="00B76197"/>
    <w:rsid w:val="00B76C49"/>
    <w:rsid w:val="00B80CE4"/>
    <w:rsid w:val="00B83D0A"/>
    <w:rsid w:val="00B86846"/>
    <w:rsid w:val="00B87CD0"/>
    <w:rsid w:val="00B917F9"/>
    <w:rsid w:val="00B923B2"/>
    <w:rsid w:val="00BA1829"/>
    <w:rsid w:val="00BA29EF"/>
    <w:rsid w:val="00BA50C8"/>
    <w:rsid w:val="00BA7E1B"/>
    <w:rsid w:val="00BB0BD4"/>
    <w:rsid w:val="00BB1098"/>
    <w:rsid w:val="00BB2B3E"/>
    <w:rsid w:val="00BC2317"/>
    <w:rsid w:val="00BC2F0E"/>
    <w:rsid w:val="00BC37C1"/>
    <w:rsid w:val="00BC5B3A"/>
    <w:rsid w:val="00BD41F4"/>
    <w:rsid w:val="00BD5974"/>
    <w:rsid w:val="00BE4A9D"/>
    <w:rsid w:val="00BE4CFD"/>
    <w:rsid w:val="00BF2B1A"/>
    <w:rsid w:val="00C00832"/>
    <w:rsid w:val="00C03A3F"/>
    <w:rsid w:val="00C03C46"/>
    <w:rsid w:val="00C03E91"/>
    <w:rsid w:val="00C05217"/>
    <w:rsid w:val="00C06056"/>
    <w:rsid w:val="00C07B40"/>
    <w:rsid w:val="00C110D8"/>
    <w:rsid w:val="00C15F3C"/>
    <w:rsid w:val="00C20319"/>
    <w:rsid w:val="00C2663B"/>
    <w:rsid w:val="00C270DE"/>
    <w:rsid w:val="00C3605B"/>
    <w:rsid w:val="00C40689"/>
    <w:rsid w:val="00C43359"/>
    <w:rsid w:val="00C46762"/>
    <w:rsid w:val="00C51099"/>
    <w:rsid w:val="00C52800"/>
    <w:rsid w:val="00C7251C"/>
    <w:rsid w:val="00C727A3"/>
    <w:rsid w:val="00C82BE4"/>
    <w:rsid w:val="00C9475B"/>
    <w:rsid w:val="00C97078"/>
    <w:rsid w:val="00CA4BF6"/>
    <w:rsid w:val="00CB0364"/>
    <w:rsid w:val="00CB5D61"/>
    <w:rsid w:val="00CC1503"/>
    <w:rsid w:val="00CC599E"/>
    <w:rsid w:val="00CC754A"/>
    <w:rsid w:val="00CC75E8"/>
    <w:rsid w:val="00CD1130"/>
    <w:rsid w:val="00CD3EE9"/>
    <w:rsid w:val="00CD5809"/>
    <w:rsid w:val="00CD7125"/>
    <w:rsid w:val="00CE1723"/>
    <w:rsid w:val="00CE1886"/>
    <w:rsid w:val="00CE70A1"/>
    <w:rsid w:val="00CE7251"/>
    <w:rsid w:val="00CF7B05"/>
    <w:rsid w:val="00D046B1"/>
    <w:rsid w:val="00D13E8D"/>
    <w:rsid w:val="00D2449B"/>
    <w:rsid w:val="00D34393"/>
    <w:rsid w:val="00D40C84"/>
    <w:rsid w:val="00D40D04"/>
    <w:rsid w:val="00D41510"/>
    <w:rsid w:val="00D43779"/>
    <w:rsid w:val="00D46637"/>
    <w:rsid w:val="00D46639"/>
    <w:rsid w:val="00D4665B"/>
    <w:rsid w:val="00D55C0F"/>
    <w:rsid w:val="00D56088"/>
    <w:rsid w:val="00D7256E"/>
    <w:rsid w:val="00D763D2"/>
    <w:rsid w:val="00D77955"/>
    <w:rsid w:val="00D809D0"/>
    <w:rsid w:val="00D87EC2"/>
    <w:rsid w:val="00D90C8B"/>
    <w:rsid w:val="00D96FBA"/>
    <w:rsid w:val="00DA3DB2"/>
    <w:rsid w:val="00DB118C"/>
    <w:rsid w:val="00DC006F"/>
    <w:rsid w:val="00DC0CD5"/>
    <w:rsid w:val="00DC5251"/>
    <w:rsid w:val="00DD1BBB"/>
    <w:rsid w:val="00DD3CD9"/>
    <w:rsid w:val="00DD3F67"/>
    <w:rsid w:val="00DD43B8"/>
    <w:rsid w:val="00DD5D4B"/>
    <w:rsid w:val="00DD61FD"/>
    <w:rsid w:val="00DE0043"/>
    <w:rsid w:val="00DE3E9E"/>
    <w:rsid w:val="00DE49F6"/>
    <w:rsid w:val="00DE5210"/>
    <w:rsid w:val="00DF3968"/>
    <w:rsid w:val="00DF72C5"/>
    <w:rsid w:val="00DF7DD8"/>
    <w:rsid w:val="00E07DFD"/>
    <w:rsid w:val="00E133D3"/>
    <w:rsid w:val="00E134D2"/>
    <w:rsid w:val="00E1588C"/>
    <w:rsid w:val="00E201D0"/>
    <w:rsid w:val="00E302CE"/>
    <w:rsid w:val="00E317BC"/>
    <w:rsid w:val="00E3341B"/>
    <w:rsid w:val="00E36FE4"/>
    <w:rsid w:val="00E414C5"/>
    <w:rsid w:val="00E42750"/>
    <w:rsid w:val="00E47550"/>
    <w:rsid w:val="00E5467F"/>
    <w:rsid w:val="00E60E96"/>
    <w:rsid w:val="00E61343"/>
    <w:rsid w:val="00E613C3"/>
    <w:rsid w:val="00E63ACD"/>
    <w:rsid w:val="00E71A54"/>
    <w:rsid w:val="00E82366"/>
    <w:rsid w:val="00E87601"/>
    <w:rsid w:val="00E876AE"/>
    <w:rsid w:val="00E923E2"/>
    <w:rsid w:val="00E93A72"/>
    <w:rsid w:val="00E959C0"/>
    <w:rsid w:val="00EA5EAB"/>
    <w:rsid w:val="00EB218C"/>
    <w:rsid w:val="00EB21F6"/>
    <w:rsid w:val="00EB57EE"/>
    <w:rsid w:val="00EB6024"/>
    <w:rsid w:val="00EB7A0C"/>
    <w:rsid w:val="00ED2E46"/>
    <w:rsid w:val="00ED67C4"/>
    <w:rsid w:val="00EE0409"/>
    <w:rsid w:val="00EE1832"/>
    <w:rsid w:val="00EE4B9F"/>
    <w:rsid w:val="00EF7834"/>
    <w:rsid w:val="00F00F11"/>
    <w:rsid w:val="00F02226"/>
    <w:rsid w:val="00F02CAF"/>
    <w:rsid w:val="00F047A0"/>
    <w:rsid w:val="00F06063"/>
    <w:rsid w:val="00F06F23"/>
    <w:rsid w:val="00F0729B"/>
    <w:rsid w:val="00F07C60"/>
    <w:rsid w:val="00F11109"/>
    <w:rsid w:val="00F118B1"/>
    <w:rsid w:val="00F135A3"/>
    <w:rsid w:val="00F231C7"/>
    <w:rsid w:val="00F27E39"/>
    <w:rsid w:val="00F304C5"/>
    <w:rsid w:val="00F3209B"/>
    <w:rsid w:val="00F36361"/>
    <w:rsid w:val="00F370F0"/>
    <w:rsid w:val="00F375C7"/>
    <w:rsid w:val="00F5092E"/>
    <w:rsid w:val="00F549F0"/>
    <w:rsid w:val="00F559A5"/>
    <w:rsid w:val="00F628C0"/>
    <w:rsid w:val="00F6511D"/>
    <w:rsid w:val="00F822A9"/>
    <w:rsid w:val="00F83790"/>
    <w:rsid w:val="00F83ED1"/>
    <w:rsid w:val="00F85D56"/>
    <w:rsid w:val="00F95021"/>
    <w:rsid w:val="00FA0F74"/>
    <w:rsid w:val="00FA7E2D"/>
    <w:rsid w:val="00FB5EBD"/>
    <w:rsid w:val="00FC1AA8"/>
    <w:rsid w:val="00FD2C67"/>
    <w:rsid w:val="00FD6AF7"/>
    <w:rsid w:val="00FE16A2"/>
    <w:rsid w:val="00FE20D2"/>
    <w:rsid w:val="00FE30AF"/>
    <w:rsid w:val="00FE38A2"/>
    <w:rsid w:val="00FE44FF"/>
    <w:rsid w:val="00FF4E68"/>
    <w:rsid w:val="00FF54FE"/>
    <w:rsid w:val="00FF6DAE"/>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39C301AC"/>
  <w15:docId w15:val="{77485363-02C3-4C07-BD1C-2A46E2BC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semiHidden/>
    <w:unhideWhenUsed/>
    <w:rsid w:val="00045395"/>
    <w:rPr>
      <w:sz w:val="16"/>
      <w:szCs w:val="16"/>
    </w:rPr>
  </w:style>
  <w:style w:type="paragraph" w:styleId="Kommentartext">
    <w:name w:val="annotation text"/>
    <w:basedOn w:val="Standard"/>
    <w:link w:val="KommentartextZchn"/>
    <w:semiHidden/>
    <w:unhideWhenUsed/>
    <w:rsid w:val="00045395"/>
    <w:rPr>
      <w:sz w:val="20"/>
      <w:szCs w:val="20"/>
    </w:rPr>
  </w:style>
  <w:style w:type="character" w:customStyle="1" w:styleId="KommentartextZchn">
    <w:name w:val="Kommentartext Zchn"/>
    <w:basedOn w:val="Absatz-Standardschriftart"/>
    <w:link w:val="Kommentartext"/>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 w:type="paragraph" w:customStyle="1" w:styleId="Kommentartext1">
    <w:name w:val="Kommentartext1"/>
    <w:basedOn w:val="Standard"/>
    <w:qFormat/>
    <w:rsid w:val="00493808"/>
    <w:pPr>
      <w:spacing w:after="120" w:line="288" w:lineRule="auto"/>
    </w:pPr>
    <w:rPr>
      <w:rFonts w:asciiTheme="minorHAnsi" w:eastAsiaTheme="minorHAnsi" w:hAnsiTheme="minorHAnsi"/>
      <w:kern w:val="22"/>
      <w:sz w:val="20"/>
      <w:szCs w:val="22"/>
    </w:rPr>
  </w:style>
  <w:style w:type="paragraph" w:customStyle="1" w:styleId="paragraph">
    <w:name w:val="paragraph"/>
    <w:basedOn w:val="Standard"/>
    <w:rsid w:val="00CC1503"/>
    <w:pPr>
      <w:spacing w:before="100" w:beforeAutospacing="1" w:after="100" w:afterAutospacing="1"/>
    </w:pPr>
  </w:style>
  <w:style w:type="character" w:customStyle="1" w:styleId="normaltextrun">
    <w:name w:val="normaltextrun"/>
    <w:basedOn w:val="Absatz-Standardschriftart"/>
    <w:rsid w:val="00CC1503"/>
  </w:style>
  <w:style w:type="character" w:customStyle="1" w:styleId="eop">
    <w:name w:val="eop"/>
    <w:basedOn w:val="Absatz-Standardschriftart"/>
    <w:rsid w:val="00CC1503"/>
  </w:style>
  <w:style w:type="character" w:customStyle="1" w:styleId="spellingerror">
    <w:name w:val="spellingerror"/>
    <w:basedOn w:val="Absatz-Standardschriftart"/>
    <w:rsid w:val="00CC1503"/>
  </w:style>
  <w:style w:type="paragraph" w:styleId="berarbeitung">
    <w:name w:val="Revision"/>
    <w:hidden/>
    <w:semiHidden/>
    <w:rsid w:val="00382F14"/>
  </w:style>
  <w:style w:type="character" w:customStyle="1" w:styleId="UnresolvedMention">
    <w:name w:val="Unresolved Mention"/>
    <w:basedOn w:val="Absatz-Standardschriftart"/>
    <w:uiPriority w:val="99"/>
    <w:semiHidden/>
    <w:unhideWhenUsed/>
    <w:rsid w:val="00A9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4140">
      <w:bodyDiv w:val="1"/>
      <w:marLeft w:val="0"/>
      <w:marRight w:val="0"/>
      <w:marTop w:val="0"/>
      <w:marBottom w:val="0"/>
      <w:divBdr>
        <w:top w:val="none" w:sz="0" w:space="0" w:color="auto"/>
        <w:left w:val="none" w:sz="0" w:space="0" w:color="auto"/>
        <w:bottom w:val="none" w:sz="0" w:space="0" w:color="auto"/>
        <w:right w:val="none" w:sz="0" w:space="0" w:color="auto"/>
      </w:divBdr>
    </w:div>
    <w:div w:id="400563966">
      <w:bodyDiv w:val="1"/>
      <w:marLeft w:val="0"/>
      <w:marRight w:val="0"/>
      <w:marTop w:val="0"/>
      <w:marBottom w:val="0"/>
      <w:divBdr>
        <w:top w:val="none" w:sz="0" w:space="0" w:color="auto"/>
        <w:left w:val="none" w:sz="0" w:space="0" w:color="auto"/>
        <w:bottom w:val="none" w:sz="0" w:space="0" w:color="auto"/>
        <w:right w:val="none" w:sz="0" w:space="0" w:color="auto"/>
      </w:divBdr>
    </w:div>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35780081">
      <w:bodyDiv w:val="1"/>
      <w:marLeft w:val="0"/>
      <w:marRight w:val="0"/>
      <w:marTop w:val="0"/>
      <w:marBottom w:val="0"/>
      <w:divBdr>
        <w:top w:val="none" w:sz="0" w:space="0" w:color="auto"/>
        <w:left w:val="none" w:sz="0" w:space="0" w:color="auto"/>
        <w:bottom w:val="none" w:sz="0" w:space="0" w:color="auto"/>
        <w:right w:val="none" w:sz="0" w:space="0" w:color="auto"/>
      </w:divBdr>
    </w:div>
    <w:div w:id="553783500">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611518477">
      <w:bodyDiv w:val="1"/>
      <w:marLeft w:val="0"/>
      <w:marRight w:val="0"/>
      <w:marTop w:val="0"/>
      <w:marBottom w:val="0"/>
      <w:divBdr>
        <w:top w:val="none" w:sz="0" w:space="0" w:color="auto"/>
        <w:left w:val="none" w:sz="0" w:space="0" w:color="auto"/>
        <w:bottom w:val="none" w:sz="0" w:space="0" w:color="auto"/>
        <w:right w:val="none" w:sz="0" w:space="0" w:color="auto"/>
      </w:divBdr>
    </w:div>
    <w:div w:id="644241203">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795686868">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73378318">
      <w:bodyDiv w:val="1"/>
      <w:marLeft w:val="0"/>
      <w:marRight w:val="0"/>
      <w:marTop w:val="0"/>
      <w:marBottom w:val="0"/>
      <w:divBdr>
        <w:top w:val="none" w:sz="0" w:space="0" w:color="auto"/>
        <w:left w:val="none" w:sz="0" w:space="0" w:color="auto"/>
        <w:bottom w:val="none" w:sz="0" w:space="0" w:color="auto"/>
        <w:right w:val="none" w:sz="0" w:space="0" w:color="auto"/>
      </w:divBdr>
      <w:divsChild>
        <w:div w:id="835877393">
          <w:marLeft w:val="0"/>
          <w:marRight w:val="0"/>
          <w:marTop w:val="0"/>
          <w:marBottom w:val="0"/>
          <w:divBdr>
            <w:top w:val="none" w:sz="0" w:space="0" w:color="auto"/>
            <w:left w:val="none" w:sz="0" w:space="0" w:color="auto"/>
            <w:bottom w:val="none" w:sz="0" w:space="0" w:color="auto"/>
            <w:right w:val="none" w:sz="0" w:space="0" w:color="auto"/>
          </w:divBdr>
        </w:div>
        <w:div w:id="1249075685">
          <w:marLeft w:val="0"/>
          <w:marRight w:val="0"/>
          <w:marTop w:val="0"/>
          <w:marBottom w:val="0"/>
          <w:divBdr>
            <w:top w:val="none" w:sz="0" w:space="0" w:color="auto"/>
            <w:left w:val="none" w:sz="0" w:space="0" w:color="auto"/>
            <w:bottom w:val="none" w:sz="0" w:space="0" w:color="auto"/>
            <w:right w:val="none" w:sz="0" w:space="0" w:color="auto"/>
          </w:divBdr>
        </w:div>
        <w:div w:id="629823824">
          <w:marLeft w:val="0"/>
          <w:marRight w:val="0"/>
          <w:marTop w:val="0"/>
          <w:marBottom w:val="0"/>
          <w:divBdr>
            <w:top w:val="none" w:sz="0" w:space="0" w:color="auto"/>
            <w:left w:val="none" w:sz="0" w:space="0" w:color="auto"/>
            <w:bottom w:val="none" w:sz="0" w:space="0" w:color="auto"/>
            <w:right w:val="none" w:sz="0" w:space="0" w:color="auto"/>
          </w:divBdr>
        </w:div>
        <w:div w:id="1949000988">
          <w:marLeft w:val="0"/>
          <w:marRight w:val="0"/>
          <w:marTop w:val="0"/>
          <w:marBottom w:val="0"/>
          <w:divBdr>
            <w:top w:val="none" w:sz="0" w:space="0" w:color="auto"/>
            <w:left w:val="none" w:sz="0" w:space="0" w:color="auto"/>
            <w:bottom w:val="none" w:sz="0" w:space="0" w:color="auto"/>
            <w:right w:val="none" w:sz="0" w:space="0" w:color="auto"/>
          </w:divBdr>
        </w:div>
        <w:div w:id="396590706">
          <w:marLeft w:val="0"/>
          <w:marRight w:val="0"/>
          <w:marTop w:val="0"/>
          <w:marBottom w:val="0"/>
          <w:divBdr>
            <w:top w:val="none" w:sz="0" w:space="0" w:color="auto"/>
            <w:left w:val="none" w:sz="0" w:space="0" w:color="auto"/>
            <w:bottom w:val="none" w:sz="0" w:space="0" w:color="auto"/>
            <w:right w:val="none" w:sz="0" w:space="0" w:color="auto"/>
          </w:divBdr>
        </w:div>
        <w:div w:id="203292931">
          <w:marLeft w:val="0"/>
          <w:marRight w:val="0"/>
          <w:marTop w:val="0"/>
          <w:marBottom w:val="0"/>
          <w:divBdr>
            <w:top w:val="none" w:sz="0" w:space="0" w:color="auto"/>
            <w:left w:val="none" w:sz="0" w:space="0" w:color="auto"/>
            <w:bottom w:val="none" w:sz="0" w:space="0" w:color="auto"/>
            <w:right w:val="none" w:sz="0" w:space="0" w:color="auto"/>
          </w:divBdr>
        </w:div>
        <w:div w:id="646210048">
          <w:marLeft w:val="0"/>
          <w:marRight w:val="0"/>
          <w:marTop w:val="0"/>
          <w:marBottom w:val="0"/>
          <w:divBdr>
            <w:top w:val="none" w:sz="0" w:space="0" w:color="auto"/>
            <w:left w:val="none" w:sz="0" w:space="0" w:color="auto"/>
            <w:bottom w:val="none" w:sz="0" w:space="0" w:color="auto"/>
            <w:right w:val="none" w:sz="0" w:space="0" w:color="auto"/>
          </w:divBdr>
        </w:div>
        <w:div w:id="833763914">
          <w:marLeft w:val="0"/>
          <w:marRight w:val="0"/>
          <w:marTop w:val="0"/>
          <w:marBottom w:val="0"/>
          <w:divBdr>
            <w:top w:val="none" w:sz="0" w:space="0" w:color="auto"/>
            <w:left w:val="none" w:sz="0" w:space="0" w:color="auto"/>
            <w:bottom w:val="none" w:sz="0" w:space="0" w:color="auto"/>
            <w:right w:val="none" w:sz="0" w:space="0" w:color="auto"/>
          </w:divBdr>
        </w:div>
      </w:divsChild>
    </w:div>
    <w:div w:id="1302930613">
      <w:bodyDiv w:val="1"/>
      <w:marLeft w:val="0"/>
      <w:marRight w:val="0"/>
      <w:marTop w:val="0"/>
      <w:marBottom w:val="0"/>
      <w:divBdr>
        <w:top w:val="none" w:sz="0" w:space="0" w:color="auto"/>
        <w:left w:val="none" w:sz="0" w:space="0" w:color="auto"/>
        <w:bottom w:val="none" w:sz="0" w:space="0" w:color="auto"/>
        <w:right w:val="none" w:sz="0" w:space="0" w:color="auto"/>
      </w:divBdr>
    </w:div>
    <w:div w:id="1318263412">
      <w:bodyDiv w:val="1"/>
      <w:marLeft w:val="0"/>
      <w:marRight w:val="0"/>
      <w:marTop w:val="0"/>
      <w:marBottom w:val="0"/>
      <w:divBdr>
        <w:top w:val="none" w:sz="0" w:space="0" w:color="auto"/>
        <w:left w:val="none" w:sz="0" w:space="0" w:color="auto"/>
        <w:bottom w:val="none" w:sz="0" w:space="0" w:color="auto"/>
        <w:right w:val="none" w:sz="0" w:space="0" w:color="auto"/>
      </w:divBdr>
      <w:divsChild>
        <w:div w:id="1976718684">
          <w:marLeft w:val="0"/>
          <w:marRight w:val="0"/>
          <w:marTop w:val="0"/>
          <w:marBottom w:val="0"/>
          <w:divBdr>
            <w:top w:val="none" w:sz="0" w:space="0" w:color="auto"/>
            <w:left w:val="none" w:sz="0" w:space="0" w:color="auto"/>
            <w:bottom w:val="none" w:sz="0" w:space="0" w:color="auto"/>
            <w:right w:val="none" w:sz="0" w:space="0" w:color="auto"/>
          </w:divBdr>
        </w:div>
      </w:divsChild>
    </w:div>
    <w:div w:id="1424255767">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600722510">
      <w:bodyDiv w:val="1"/>
      <w:marLeft w:val="0"/>
      <w:marRight w:val="0"/>
      <w:marTop w:val="0"/>
      <w:marBottom w:val="0"/>
      <w:divBdr>
        <w:top w:val="none" w:sz="0" w:space="0" w:color="auto"/>
        <w:left w:val="none" w:sz="0" w:space="0" w:color="auto"/>
        <w:bottom w:val="none" w:sz="0" w:space="0" w:color="auto"/>
        <w:right w:val="none" w:sz="0" w:space="0" w:color="auto"/>
      </w:divBdr>
    </w:div>
    <w:div w:id="1627195242">
      <w:bodyDiv w:val="1"/>
      <w:marLeft w:val="0"/>
      <w:marRight w:val="0"/>
      <w:marTop w:val="0"/>
      <w:marBottom w:val="0"/>
      <w:divBdr>
        <w:top w:val="none" w:sz="0" w:space="0" w:color="auto"/>
        <w:left w:val="none" w:sz="0" w:space="0" w:color="auto"/>
        <w:bottom w:val="none" w:sz="0" w:space="0" w:color="auto"/>
        <w:right w:val="none" w:sz="0" w:space="0" w:color="auto"/>
      </w:divBdr>
    </w:div>
    <w:div w:id="1658411453">
      <w:bodyDiv w:val="1"/>
      <w:marLeft w:val="0"/>
      <w:marRight w:val="0"/>
      <w:marTop w:val="0"/>
      <w:marBottom w:val="0"/>
      <w:divBdr>
        <w:top w:val="none" w:sz="0" w:space="0" w:color="auto"/>
        <w:left w:val="none" w:sz="0" w:space="0" w:color="auto"/>
        <w:bottom w:val="none" w:sz="0" w:space="0" w:color="auto"/>
        <w:right w:val="none" w:sz="0" w:space="0" w:color="auto"/>
      </w:divBdr>
    </w:div>
    <w:div w:id="1683238797">
      <w:bodyDiv w:val="1"/>
      <w:marLeft w:val="0"/>
      <w:marRight w:val="0"/>
      <w:marTop w:val="0"/>
      <w:marBottom w:val="0"/>
      <w:divBdr>
        <w:top w:val="none" w:sz="0" w:space="0" w:color="auto"/>
        <w:left w:val="none" w:sz="0" w:space="0" w:color="auto"/>
        <w:bottom w:val="none" w:sz="0" w:space="0" w:color="auto"/>
        <w:right w:val="none" w:sz="0" w:space="0" w:color="auto"/>
      </w:divBdr>
    </w:div>
    <w:div w:id="1853062895">
      <w:bodyDiv w:val="1"/>
      <w:marLeft w:val="0"/>
      <w:marRight w:val="0"/>
      <w:marTop w:val="0"/>
      <w:marBottom w:val="0"/>
      <w:divBdr>
        <w:top w:val="none" w:sz="0" w:space="0" w:color="auto"/>
        <w:left w:val="none" w:sz="0" w:space="0" w:color="auto"/>
        <w:bottom w:val="none" w:sz="0" w:space="0" w:color="auto"/>
        <w:right w:val="none" w:sz="0" w:space="0" w:color="auto"/>
      </w:divBdr>
    </w:div>
    <w:div w:id="1912152034">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dox.com/de/ressourcen/analyst-barc-planning-surve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surve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survey.com/planning-software-comparison" TargetMode="External"/><Relationship Id="rId5" Type="http://schemas.openxmlformats.org/officeDocument/2006/relationships/numbering" Target="numbering.xml"/><Relationship Id="rId15" Type="http://schemas.openxmlformats.org/officeDocument/2006/relationships/hyperlink" Target="mailto:presse@u3marketing.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jedox.com"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9FD052F85F4F4083E1DEAAF6E4FB26" ma:contentTypeVersion="12" ma:contentTypeDescription="Ein neues Dokument erstellen." ma:contentTypeScope="" ma:versionID="a94bcd55f0e5ce4cfbcc578521051051">
  <xsd:schema xmlns:xsd="http://www.w3.org/2001/XMLSchema" xmlns:xs="http://www.w3.org/2001/XMLSchema" xmlns:p="http://schemas.microsoft.com/office/2006/metadata/properties" xmlns:ns3="fb9480fc-a6a3-4d49-8a9e-26942689959e" xmlns:ns4="9935a1a7-12ae-4d5a-9345-ea98716310d7" targetNamespace="http://schemas.microsoft.com/office/2006/metadata/properties" ma:root="true" ma:fieldsID="f9450018b9f6453913fa108afb151ff0" ns3:_="" ns4:_="">
    <xsd:import namespace="fb9480fc-a6a3-4d49-8a9e-26942689959e"/>
    <xsd:import namespace="9935a1a7-12ae-4d5a-9345-ea9871631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480fc-a6a3-4d49-8a9e-269426899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5a1a7-12ae-4d5a-9345-ea98716310d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3.xml><?xml version="1.0" encoding="utf-8"?>
<ds:datastoreItem xmlns:ds="http://schemas.openxmlformats.org/officeDocument/2006/customXml" ds:itemID="{316A8FB3-136D-46A1-A515-7E801A30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480fc-a6a3-4d49-8a9e-26942689959e"/>
    <ds:schemaRef ds:uri="9935a1a7-12ae-4d5a-9345-ea987163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7870D-6E6A-4C43-A2D6-7D565A9B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Microsoft-Konto</cp:lastModifiedBy>
  <cp:revision>3</cp:revision>
  <cp:lastPrinted>2020-06-29T10:42:00Z</cp:lastPrinted>
  <dcterms:created xsi:type="dcterms:W3CDTF">2020-06-29T10:42:00Z</dcterms:created>
  <dcterms:modified xsi:type="dcterms:W3CDTF">2020-06-29T10:43:00Z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0x0101006A9FD052F85F4F4083E1DEAAF6E4FB26</vt:lpwstr>
  </property>
</Properties>
</file>